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ОХОРОНИ ЗДОРОВ’Я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17.03.2015 № 148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03 квітня 2015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377/26822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затвердження Порядку підтвердження зв’язку зараження ВІЛ-інфекцією з виконанням працівником своїх професійних обов’язків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" w:name="n5"/>
      <w:bookmarkEnd w:id="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Відповідно до </w:t>
      </w:r>
      <w:hyperlink r:id="rId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статті 22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Закону України «Про протидію поширенню хвороб, зумовлених вірусом імунодефіциту людини (ВІЛ), та правовий і соціальний захист людей, які живуть з ВІЛ», з метою забезпечення реалізації прав медичних та соціальних працівників, які заразилися ВІЛ-інфекцією внаслідок виконання професійних обов’язків,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6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>1. Затвердити такі, що додаються: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7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1) </w:t>
      </w:r>
      <w:hyperlink w:anchor="n1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Порядок підтвердження зв’язку зараження ВІЛ-інфекцією з виконанням працівником своїх професійних обов’язків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8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2) </w:t>
      </w:r>
      <w:hyperlink r:id="rId6" w:anchor="n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форму первинної облікової документації № 108-0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«Журнал реєстрації аварій при наданні медичної допомоги ВІЛ-інфікованим особам та роботі з ВІЛ-інфікованим матеріалом» та </w:t>
      </w:r>
      <w:hyperlink r:id="rId6" w:anchor="n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інструкцію щодо її заповнення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" w:name="n9"/>
      <w:bookmarkEnd w:id="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Главу 3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Інструкції з профілактики внутрішньолікарняного та професійного зараження ВІЛ-інфекцією, затвердженої наказом Міністерства охорони здоров’я України від 25 травня 2000 року № 120, зареєстрованої в Міністерстві юстиції України 14 листопада 2000 року за № 820/5041, та додаток до неї виключити.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10"/>
      <w:bookmarkEnd w:id="8"/>
      <w:r>
        <w:rPr>
          <w:rStyle w:val="spanrvts0"/>
          <w:b w:val="0"/>
          <w:bCs w:val="0"/>
          <w:i w:val="0"/>
          <w:iCs w:val="0"/>
          <w:lang w:val="uk" w:eastAsia="uk"/>
        </w:rPr>
        <w:t>3. Департаменту медичної допомоги (С. Хотіна) в установленому порядку забезпечити подання цього наказу на державну реєстрацію до Міністерства юстиції України.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9" w:name="n11"/>
      <w:bookmarkEnd w:id="9"/>
      <w:r>
        <w:rPr>
          <w:rStyle w:val="spanrvts0"/>
          <w:b w:val="0"/>
          <w:bCs w:val="0"/>
          <w:i w:val="0"/>
          <w:iCs w:val="0"/>
          <w:lang w:val="uk" w:eastAsia="uk"/>
        </w:rPr>
        <w:t>4. Контроль за виконанням цього наказу покласти на заступника Міністра з питань європейської інтеграції Ю. Савка.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" w:name="n12"/>
      <w:bookmarkEnd w:id="10"/>
      <w:r>
        <w:rPr>
          <w:rStyle w:val="spanrvts0"/>
          <w:b w:val="0"/>
          <w:bCs w:val="0"/>
          <w:i w:val="0"/>
          <w:iCs w:val="0"/>
          <w:lang w:val="uk" w:eastAsia="uk"/>
        </w:rPr>
        <w:t>5. Цей наказ набирає чинності з дня його офіційного опублікування.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21"/>
        <w:gridCol w:w="5839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1" w:name="n13"/>
            <w:bookmarkEnd w:id="11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О. Квіташвілі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2" w:name="n76"/>
            <w:bookmarkEnd w:id="12"/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ПОГОДЖЕНО: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Перший заступник Голови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Спільного представницького органу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сторони роботодавців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на національному рівні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Президент Національної академії наук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академік НАН України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Президент Національної академії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медичних наук України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Голова Державної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регуляторної служби України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Перший заступник Голови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Державної служби України з питань праці</w:t>
            </w:r>
          </w:p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Перший заступник Міністра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соціальної політики України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О. Мірошниченко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Б.Є. Патон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А.М. Сердюк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К. Ляпіна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С. Дехтяренко</w:t>
            </w:r>
          </w:p>
          <w:p>
            <w:pPr>
              <w:pStyle w:val="rvps11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В. Мущинін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3" w:name="n71"/>
      <w:bookmarkEnd w:id="13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4" w:name="n14"/>
            <w:bookmarkEnd w:id="14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 охорони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здоров’я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17.03.2015 № 148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5" w:name="n15"/>
            <w:bookmarkEnd w:id="15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03 квітня 2015 р.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377/26822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6" w:name="n16"/>
      <w:bookmarkEnd w:id="16"/>
      <w:r>
        <w:rPr>
          <w:rStyle w:val="spanrvts23"/>
          <w:b/>
          <w:bCs/>
          <w:i w:val="0"/>
          <w:iCs w:val="0"/>
          <w:lang w:val="uk" w:eastAsia="uk"/>
        </w:rPr>
        <w:t xml:space="preserve">ПОРЯДОК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підтвердження зв’язку зараження ВІЛ-інфекцією з виконанням працівником своїх професійних обов’язків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7" w:name="n17"/>
      <w:bookmarkEnd w:id="17"/>
      <w:r>
        <w:rPr>
          <w:rStyle w:val="spanrvts15"/>
          <w:b/>
          <w:bCs/>
          <w:i w:val="0"/>
          <w:iCs w:val="0"/>
          <w:lang w:val="uk" w:eastAsia="uk"/>
        </w:rPr>
        <w:t>І. Загальні положення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8" w:name="n18"/>
      <w:bookmarkEnd w:id="1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 Цей Порядок встановлює процедуру підтвердження зв’язку зараження ВІЛ-інфекцією з виконанням працівником своїх професійних обов’язків.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9" w:name="n19"/>
      <w:bookmarkEnd w:id="1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Процедура підтвердження зв’язку зараження ВІЛ-інфекцією з виконанням працівником своїх професійних обов’язків здійснюється за інформованою письмовою згодою працівника в довільній формі.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0" w:name="n20"/>
      <w:bookmarkEnd w:id="20"/>
      <w:r>
        <w:rPr>
          <w:rStyle w:val="spanrvts0"/>
          <w:b w:val="0"/>
          <w:bCs w:val="0"/>
          <w:i w:val="0"/>
          <w:iCs w:val="0"/>
          <w:lang w:val="uk" w:eastAsia="uk"/>
        </w:rPr>
        <w:t>2. У цьому Порядку терміни вживаються у таких значеннях: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1" w:name="n21"/>
      <w:bookmarkEnd w:id="21"/>
      <w:r>
        <w:rPr>
          <w:rStyle w:val="spanrvts0"/>
          <w:b w:val="0"/>
          <w:bCs w:val="0"/>
          <w:i w:val="0"/>
          <w:iCs w:val="0"/>
          <w:lang w:val="uk" w:eastAsia="uk"/>
        </w:rPr>
        <w:t>аварія - безпосередній відкритий фізичний контакт з кров’ю чи біологічними матеріалами людини, забрудненими ними інструментарієм, обладнанням чи предметами внаслідок потрапляння їх на шкіру/слизову оболонку, під шкіру/слизову оболонку, який трапився при виконанні професійних обов’язків;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2" w:name="n22"/>
      <w:bookmarkEnd w:id="22"/>
      <w:r>
        <w:rPr>
          <w:rStyle w:val="spanrvts0"/>
          <w:b w:val="0"/>
          <w:bCs w:val="0"/>
          <w:i w:val="0"/>
          <w:iCs w:val="0"/>
          <w:lang w:val="uk" w:eastAsia="uk"/>
        </w:rPr>
        <w:t>екстрена постконтактна профілактика (далі - ПКП) - медичний захід, спрямований на попередження розвитку ВІЛ-інфекції у працівників, які проводять діагностичні дослідження на ВІЛ-інфекцію, надають медичну допомогу та соціальні послуги людям, які живуть з ВІЛ, або контактують з кров’ю чи біологічними матеріалами людини, забрудненими ними інструментарієм, обладнанням чи предметами, та які зазнали безпосереднього відкритого фізичного контакту з ними, що передбачає надання першої допомоги, консультування і оцінку ризику інфікування ВІЛ, тестування на ВІЛ після отримання інформованої згоди і залежно від ступеня оціненого ризику проведення медикаментозної ПКП з наданням підтримки й подальшого медичного спостереження;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3" w:name="n23"/>
      <w:bookmarkEnd w:id="23"/>
      <w:r>
        <w:rPr>
          <w:rStyle w:val="spanrvts0"/>
          <w:b w:val="0"/>
          <w:bCs w:val="0"/>
          <w:i w:val="0"/>
          <w:iCs w:val="0"/>
          <w:lang w:val="uk" w:eastAsia="uk"/>
        </w:rPr>
        <w:t>медикаментозна постконтактна профілактика (далі - МПКП) - проведення короткого курсу (28 днів) антиретровірусної терапії (далі - АРТ), спрямованого на попередження розвитку ВІЛ-інфекції;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4" w:name="n24"/>
      <w:bookmarkEnd w:id="24"/>
      <w:r>
        <w:rPr>
          <w:rStyle w:val="spanrvts0"/>
          <w:b w:val="0"/>
          <w:bCs w:val="0"/>
          <w:i w:val="0"/>
          <w:iCs w:val="0"/>
          <w:lang w:val="uk" w:eastAsia="uk"/>
        </w:rPr>
        <w:t>джерело потенційного інфікування ВІЛ - кров чи біологічні матеріали людини, забруднені ними інструментарій, обладнання чи предмети, які містять або можуть містити вірус імунодефіциту людини;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5" w:name="n25"/>
      <w:bookmarkEnd w:id="2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режимна комісія - комісія, що утворюється в закладі охорони здоров’я, до повноважень якої належать здійснення контролю за безпекою щодо інфікування ВІЛ медичних працівників під час виконання ними професійних обов’язків та встановлення зв’язку зараження ВІЛ-інфекцією з виконанням працівником своїх професійних обов’язків.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6" w:name="n26"/>
      <w:bookmarkEnd w:id="2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Інші терміни у цьому Порядку вживаються у значеннях, наведених у </w:t>
      </w:r>
      <w:hyperlink r:id="rId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Законі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«Про протидію поширенню хвороб, зумовлених вірусом імунодефіциту людини (ВІЛ), та правовий і соціальний захист людей, які живуть з ВІЛ».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7" w:name="n27"/>
      <w:bookmarkEnd w:id="2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3. Дія цього Порядку поширюється на працівників закладів охорони здоров’я, науково-дослідних установ та виробників біологічних препаратів для діагностики, лікування і профілактики ВІЛ-інфекції незалежно від форми власності та підпорядкування (далі - ЗОЗ, наукові установи, підприємства), які надають медичну допомогу, проводять лабораторні та наукові дослідження з проблем ВІЛ-інфекції, зайняті виробництвом біологічних препаратів для діагностики, лікування і профілактики ВІЛ-інфекції (далі - працівники) та підлягають загальнообов’язковому державному соціальному страхуванню відповідно до </w:t>
      </w:r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Закону України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«Про загальнообов’язкове державне соціальне страхування» та обов’язковому страхуванню на випадок інфікування вірусом імунодефіциту людини при виконанні ними службових обов’язків відповідно до постанови Кабінету Міністрів України від 16 жовтня 1998 року </w:t>
      </w:r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1642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«Про затвердження Порядку та умов обов’язкового страхування медичних працівників та інших осіб на випадок інфікування вірусом імунодефіциту людини під час виконання ними професійних обов’язків, а також на випадок настання у зв’язку з цим інвалідності або смерті від захворювань, зумовлених розвитком ВІЛ-інфекції, і переліку категорій медичних працівників та інших осіб, які підлягають обов’язковому страхуванню на випадок інфікування вірусом імунодефіциту людини під час виконання ними професійних обов’язків, а також на випадок настання у зв’язку з цим інвалідності або смерті від захворювань, зумовлених розвитком ВІЛ-інфекції».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8" w:name="n28"/>
      <w:bookmarkEnd w:id="2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4. Право на встановлення зв’язку зараження ВІЛ-інфекцією з виконанням працівником своїх професійних обов’язків покладається на режимну комісію ЗОЗ, наукових установ, підприємств.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9" w:name="n29"/>
      <w:bookmarkEnd w:id="2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5. Встановлювати остаточний діагноз щодо професійного захворювання у зв’язку із зараженням ВІЛ-інфекцією внаслідок аварії мають право спеціалізовані лікувально-профілактичні заклади, включені до переліку спеціалізованих лікувально-профілактичних закладів, які мають право встановлювати остаточний діагноз щодо професійних захворювань. 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0" w:name="n30"/>
      <w:bookmarkEnd w:id="30"/>
      <w:r>
        <w:rPr>
          <w:rStyle w:val="spanrvts15"/>
          <w:b/>
          <w:bCs/>
          <w:i w:val="0"/>
          <w:iCs w:val="0"/>
          <w:lang w:val="uk" w:eastAsia="uk"/>
        </w:rPr>
        <w:t xml:space="preserve">ІІ. Умови та порядок роботи режимної комісії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1" w:name="n31"/>
      <w:bookmarkEnd w:id="31"/>
      <w:r>
        <w:rPr>
          <w:rStyle w:val="spanrvts0"/>
          <w:b w:val="0"/>
          <w:bCs w:val="0"/>
          <w:i w:val="0"/>
          <w:iCs w:val="0"/>
          <w:lang w:val="uk" w:eastAsia="uk"/>
        </w:rPr>
        <w:t>1. Усі випадки аварії підлягають розслідуванню режимною комісією, яка утворюється у ЗОЗ, науковій установі, на підприємстві згідно з наказом керівника у складі не менше п’яти осіб.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2" w:name="n32"/>
      <w:bookmarkEnd w:id="3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2. У своїй роботі режимна комісія керується </w:t>
      </w:r>
      <w:hyperlink r:id="rId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Конституцією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 України та цим Порядком.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3" w:name="n33"/>
      <w:bookmarkEnd w:id="33"/>
      <w:r>
        <w:rPr>
          <w:rStyle w:val="spanrvts0"/>
          <w:b w:val="0"/>
          <w:bCs w:val="0"/>
          <w:i w:val="0"/>
          <w:iCs w:val="0"/>
          <w:lang w:val="uk" w:eastAsia="uk"/>
        </w:rPr>
        <w:t>3. До складу режимної комісії входять: голова (заступник головного лікаря, який згідно з розподілом функціональних обов’язків відповідає за охорону праці) та члени режимної комісії (керівники структурних підрозділів, лікар-інфекціоніст, спеціаліст з питань охорони праці або посадова особа, на яку роботодавцем покладено виконання функцій з охорони праці, представник первинної профспілки (а у разі відсутності профспілки - уповноважена найманими працівниками особа з питань охорони праці)).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4" w:name="n34"/>
      <w:bookmarkEnd w:id="34"/>
      <w:r>
        <w:rPr>
          <w:rStyle w:val="spanrvts0"/>
          <w:b w:val="0"/>
          <w:bCs w:val="0"/>
          <w:i w:val="0"/>
          <w:iCs w:val="0"/>
          <w:lang w:val="uk" w:eastAsia="uk"/>
        </w:rPr>
        <w:t>3.1. Голова режимної комісії вживає заходів щодо запобігання конфлікту інтересів членів режимної комісії.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5" w:name="n35"/>
      <w:bookmarkEnd w:id="35"/>
      <w:r>
        <w:rPr>
          <w:rStyle w:val="spanrvts0"/>
          <w:b w:val="0"/>
          <w:bCs w:val="0"/>
          <w:i w:val="0"/>
          <w:iCs w:val="0"/>
          <w:lang w:val="uk" w:eastAsia="uk"/>
        </w:rPr>
        <w:t>3.2. Якщо член режимної комісії опиняється в ситуації, яка має або може бути сприйнята як така, що має ознаки конфлікту інтересів, він повинен повідомити про це голову режимної комісії перед початком її роботи.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6" w:name="n36"/>
      <w:bookmarkEnd w:id="36"/>
      <w:r>
        <w:rPr>
          <w:rStyle w:val="spanrvts0"/>
          <w:b w:val="0"/>
          <w:bCs w:val="0"/>
          <w:i w:val="0"/>
          <w:iCs w:val="0"/>
          <w:lang w:val="uk" w:eastAsia="uk"/>
        </w:rPr>
        <w:t>3.3. Якщо інформація щодо конфлікту інтересів стала відома після прийняття рішення режимною комісією, таке рішення скасовується головою режимної комісії та призначається повторне засідання режимної комісії.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7" w:name="n37"/>
      <w:bookmarkEnd w:id="37"/>
      <w:r>
        <w:rPr>
          <w:rStyle w:val="spanrvts0"/>
          <w:b w:val="0"/>
          <w:bCs w:val="0"/>
          <w:i w:val="0"/>
          <w:iCs w:val="0"/>
          <w:lang w:val="uk" w:eastAsia="uk"/>
        </w:rPr>
        <w:t>3.4. Перед початком роботи режимної комісії голова та члени режимної комісії підписують заяву щодо відсутності конфлікту інтересів, складену в довільній формі.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8" w:name="n38"/>
      <w:bookmarkEnd w:id="3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4. Працівник або уповноважена ним особа, яка представляє його інтереси, має право брати участь у засіданнях режимної комісії, висловлювати свої пропозиції, давати відповідні пояснення, у тому числі викладати в усній і письмовій формі особисту думку щодо обставин і причин аварії та одержувати від голови режимної комісії інформацію про її роботу.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9" w:name="n39"/>
      <w:bookmarkEnd w:id="39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5. До початку роботи режимної комісії керівник ЗОЗ, наукової установи, підприємства (за можливості) вживає заходів щодо збереження місця аварії, обмежує доступ до нього, а також до обстановки на робочому місці та обладнання, на момент аварії.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0" w:name="n40"/>
      <w:bookmarkEnd w:id="40"/>
      <w:r>
        <w:rPr>
          <w:rStyle w:val="spanrvts0"/>
          <w:b w:val="0"/>
          <w:bCs w:val="0"/>
          <w:i w:val="0"/>
          <w:iCs w:val="0"/>
          <w:lang w:val="uk" w:eastAsia="uk"/>
        </w:rPr>
        <w:t>6. Режимна комісія зобов’язана: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1" w:name="n41"/>
      <w:bookmarkEnd w:id="41"/>
      <w:r>
        <w:rPr>
          <w:rStyle w:val="spanrvts0"/>
          <w:b w:val="0"/>
          <w:bCs w:val="0"/>
          <w:i w:val="0"/>
          <w:iCs w:val="0"/>
          <w:lang w:val="uk" w:eastAsia="uk"/>
        </w:rPr>
        <w:t>1) одержати письмові пояснення працівника та інших осіб (за потреби) про обставини, за яких відбулася аварія;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2" w:name="n42"/>
      <w:bookmarkEnd w:id="42"/>
      <w:r>
        <w:rPr>
          <w:rStyle w:val="spanrvts0"/>
          <w:b w:val="0"/>
          <w:bCs w:val="0"/>
          <w:i w:val="0"/>
          <w:iCs w:val="0"/>
          <w:lang w:val="uk" w:eastAsia="uk"/>
        </w:rPr>
        <w:t>2) обстежити місце, де відбулась аварія (у день аварії або в перший робочий день після дня настання аварії):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3" w:name="n43"/>
      <w:bookmarkEnd w:id="4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перевірити забезпечення робочих місць працівників відповідними засобами індивідуального захисту (їх наявність у необхідній кількості, справність, відповідність вимогам та призначенню) згідно з </w:t>
      </w:r>
      <w:hyperlink r:id="rId11" w:anchor="n2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Переліком та нормативами застосування засобів індивідуального захисту працівниками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які проводять діагностичні дослідження на ВІЛ-інфекцію, надають медичну допомогу та соціальні послуги людям, які живуть з ВІЛ, або контактують з кров’ю чи біологічними матеріалами людини, забрудненими ними інструментарієм, обладнанням чи предметами, затвердженим наказом Міністерства охорони здоров’я України від 05 листопада 2013 року № 955, зареєстрованим у Міністерстві юстиції України 20 листопада 2013 року за № 1978/24510;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4" w:name="n44"/>
      <w:bookmarkEnd w:id="4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перевірити відповідність умов праці працівника вимогам нормативно-правових актів з питань санітарного законодавства та законодавства про охорону праці;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5" w:name="n45"/>
      <w:bookmarkEnd w:id="45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3) перевірити, чи проводилась екстрена ПКП відповідно до вимог </w:t>
      </w:r>
      <w:hyperlink r:id="rId12" w:anchor="n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проведення екстреної постконтактної профілактики ВІЛ-інфекції у працівників при виконанні професійних обов’язків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затвердженого наказом Міністерства охорони здоров’я України від 05 листопада 2013 року </w:t>
      </w:r>
      <w:hyperlink r:id="rId11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955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зареєстрованого в Міністерстві юстиції України 20 листопада 2013 року за № 1980/24512 (далі - Порядок, затверджений наказом МОЗ України від 05 листопада 2013 року № 955);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6" w:name="n46"/>
      <w:bookmarkEnd w:id="46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4) оцінити ризики інфікування ВІЛ при аварії та контакті з потенційним джерелом інфікування ВІЛ під час виконання професійних обов’язків залежно від форми контакту, кількості небезпечного біологічного матеріалу та перевіряти дані </w:t>
      </w:r>
      <w:hyperlink r:id="rId13" w:anchor="n2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Реєстраційної карти випадку контакту, пов’язаного з виконанням професійних обов’язків, особи з кров’ю чи біологічними матеріалами людини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забрудненими ними інструментарієм, обладнанням чи предметами та проведення постконтактної профілактики ВІЛ-інфекції (конфіденційна інформація) (форма № 108-2/о), затвердженої наказом Міністерства охорони здоров’я України від 22 травня 2013 року № 410, зареєстрованим у Міністерстві юстиції України 06 червня 2013 року за № 902/23434;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7" w:name="n47"/>
      <w:bookmarkEnd w:id="47"/>
      <w:r>
        <w:rPr>
          <w:rStyle w:val="spanrvts0"/>
          <w:b w:val="0"/>
          <w:bCs w:val="0"/>
          <w:i w:val="0"/>
          <w:iCs w:val="0"/>
          <w:lang w:val="uk" w:eastAsia="uk"/>
        </w:rPr>
        <w:t>5) перевірити дотримання посадовими особами та працівником вимог нормативно-правових актів з питань санітарного законодавства, законодавства про охорону праці та посадових обов’язків;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8" w:name="n48"/>
      <w:bookmarkEnd w:id="4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6) перевірити дані про проходження працівником навчання, інструктажів з охорони праці та перевірки знань щодо безпечного виконання робіт під час виконання професійних обов’язків;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9" w:name="n49"/>
      <w:bookmarkEnd w:id="49"/>
      <w:r>
        <w:rPr>
          <w:rStyle w:val="spanrvts0"/>
          <w:b w:val="0"/>
          <w:bCs w:val="0"/>
          <w:i w:val="0"/>
          <w:iCs w:val="0"/>
          <w:lang w:val="uk" w:eastAsia="uk"/>
        </w:rPr>
        <w:t>7) перевірити внесення записів до Журналу реєстрації аварій при наданні медичної допомоги ВІЛ-інфікованим особам та роботі з ВІЛ-інфікованим матеріалом (форма № 108-0) та проаналізувати дані щодо таких випадків;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0" w:name="n50"/>
      <w:bookmarkEnd w:id="50"/>
      <w:r>
        <w:rPr>
          <w:rStyle w:val="spanrvts0"/>
          <w:b w:val="0"/>
          <w:bCs w:val="0"/>
          <w:i w:val="0"/>
          <w:iCs w:val="0"/>
          <w:lang w:val="uk" w:eastAsia="uk"/>
        </w:rPr>
        <w:t>8) отримати та проаналізувати довідки про обстеження на антитіла до ВІЛ, проведене протягом п’яти днів після аварії: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1" w:name="n51"/>
      <w:bookmarkEnd w:id="51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при негативному результаті підтверджувальних досліджень на наявність антитіл до ВІЛ - 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«Довідку № __ про негативні результати підтверджувальних досліджень на наявність антитіл до ВІЛ» (форма № 503-8/0)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2" w:name="n52"/>
      <w:bookmarkEnd w:id="52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при позитивному результаті підтверджувальних досліджень на наявність антитіл до ВІЛ - 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«Довідку № __ про результати підтверджувальних досліджень на наявність антитіл до ВІЛ» (форма № 503-9/0)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3" w:name="n53"/>
      <w:bookmarkEnd w:id="5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при невизначеному (сумнівному) результаті підтверджувальних досліджень на наявність серологічних маркерів ВІЛ - </w:t>
      </w:r>
      <w:hyperlink r:id="rId1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«Довідку № ____ про результат підтверджувальних досліджень на наявність серологічних маркерів ВІЛ»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(форма № 503-10/0);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4" w:name="n54"/>
      <w:bookmarkEnd w:id="5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при результаті дослідження на наявність антитіл до ВІЛ з використанням швидких тестів - </w:t>
      </w:r>
      <w:hyperlink r:id="rId1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«Довідку № ___ про результат досліджень на наявність антитіл до ВІЛ з використанням швидких тестів»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(форма № 503-5/о), затверджені наказом Міністерства охорони здоров’я України від 21 грудня 2010 року </w:t>
      </w:r>
      <w:hyperlink r:id="rId1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1141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зареєстрованим в Міністерстві юстиції України 14 березня 2011 року за № 319/19057 (далі - наказ МОЗ України від 21 грудня 2010 року № 1141);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5" w:name="n55"/>
      <w:bookmarkEnd w:id="55"/>
      <w:r>
        <w:rPr>
          <w:rStyle w:val="spanrvts0"/>
          <w:b w:val="0"/>
          <w:bCs w:val="0"/>
          <w:i w:val="0"/>
          <w:iCs w:val="0"/>
          <w:lang w:val="uk" w:eastAsia="uk"/>
        </w:rPr>
        <w:t>9) порушити перед керівником ЗОЗ, наукової установи, підприємства клопотання про проведення додаткових лабораторних досліджень, випробувань та інших робіт, необхідних для всебічного і об’єктивного розслідування (за необхідності);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6" w:name="n56"/>
      <w:bookmarkEnd w:id="56"/>
      <w:r>
        <w:rPr>
          <w:rStyle w:val="spanrvts0"/>
          <w:b w:val="0"/>
          <w:bCs w:val="0"/>
          <w:i w:val="0"/>
          <w:iCs w:val="0"/>
          <w:lang w:val="uk" w:eastAsia="uk"/>
        </w:rPr>
        <w:t>10) встановити обставини і причини, що призвели до аварії, осіб, які допустили порушення вимог нормативно-правових актів з питань охорони праці, а також розробити заходи щодо запобігання таким випадкам;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7" w:name="n57"/>
      <w:bookmarkEnd w:id="57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11) провести аналіз документів, зазначених у </w:t>
      </w:r>
      <w:hyperlink w:anchor="n41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підпунктах 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w:anchor="n45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3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w:anchor="n4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4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w:anchor="n48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6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</w:t>
      </w:r>
      <w:hyperlink w:anchor="n49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7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цього пункту, протягом п’яти робочих днів та скласти акт розслідування випадку контакту із джерелом потенційного інфікування ВІЛ, пов’язаного з виконанням професійних обов’язків, за формою згідно з </w:t>
      </w:r>
      <w:hyperlink w:anchor="n68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Порядку у трьох примірниках (для режимної комісії, працівника та керівника його структурного підрозділу).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8" w:name="n58"/>
      <w:bookmarkEnd w:id="58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До акта розслідування випадку контакту із джерелом потенційного інфікування ВІЛ, пов’язаного з виконанням професійних обов’язків, додаються довідки про обстеження на антитіла до ВІЛ, які проводилися протягом п’яти днів після аварії та протягом клінічного спостереження за працівником згідно із вимогами </w:t>
      </w:r>
      <w:hyperlink r:id="rId12" w:anchor="n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затвердженого наказом МОЗ України від 05 листопада 2013 року </w:t>
      </w:r>
      <w:hyperlink r:id="rId11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955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(при негативному результаті підтверджувальних досліджень на наявність антитіл до ВІЛ - 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503-8/0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при позитивному результаті підтверджувальних досліджень на наявність антитіл до ВІЛ - 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503-9/0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при невизначеному (сумнівному) результаті підтверджувальних досліджень на наявність серологічних маркерів ВІЛ - </w:t>
      </w:r>
      <w:hyperlink r:id="rId1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503-10/0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при результаті дослідження на наявність антитіл до ВІЛ з використанням швидких тестів - </w:t>
      </w:r>
      <w:hyperlink r:id="rId1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503-5/0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затверджені наказом МОЗ України від 21 грудня 2010 року</w:t>
      </w:r>
      <w:hyperlink r:id="rId1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1141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). </w:t>
      </w:r>
    </w:p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9" w:name="n59"/>
      <w:bookmarkEnd w:id="59"/>
      <w:r>
        <w:rPr>
          <w:rStyle w:val="spanrvts15"/>
          <w:b/>
          <w:bCs/>
          <w:i w:val="0"/>
          <w:iCs w:val="0"/>
          <w:lang w:val="uk" w:eastAsia="uk"/>
        </w:rPr>
        <w:t>IІІ. Прийняття рішення про зв’язок зараження ВІЛ-інфекцією з виконанням працівником своїх професійних обов’язків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0" w:name="n60"/>
      <w:bookmarkEnd w:id="60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1. На підставі акта розслідування випадку контакту із джерелом потенційного інфікування ВІЛ, пов’язаного з виконанням професійних обов’язків, та довідок, що до нього додаються, зазначених у </w:t>
      </w:r>
      <w:hyperlink w:anchor="n57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підпункті 11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, а також даних, зазначених у </w:t>
      </w:r>
      <w:hyperlink w:anchor="n4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підпунктах 4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та </w:t>
      </w:r>
      <w:hyperlink w:anchor="n49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7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пункту 6 розділу ІІ цього Порядку, режимною комісією складається висновок про зв’язок зараження ВІЛ-інфекцією з виконанням працівником своїх професійних обов’язків за формою згідно з </w:t>
      </w:r>
      <w:hyperlink w:anchor="n70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2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до цього Порядку.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1" w:name="n61"/>
      <w:bookmarkEnd w:id="61"/>
      <w:r>
        <w:rPr>
          <w:rStyle w:val="spanrvts0"/>
          <w:b w:val="0"/>
          <w:bCs w:val="0"/>
          <w:i w:val="0"/>
          <w:iCs w:val="0"/>
          <w:lang w:val="uk" w:eastAsia="uk"/>
        </w:rPr>
        <w:t>2. Рішення про підтвердження зв'язку зараження ВІЛ-інфекцією з виконанням працівником своїх професійних обов’язків приймається режимною комісією через три, шість та дванадцять місяців за наявності довідки про позитивний результат підтверджувальних досліджень на наявність антитіл до ВІЛ (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503-9/0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) та обов’язкової наявності довідок про негативний результат попередніх (з моменту аварії) підтверджувальних досліджень на наявність антитіл до ВІЛ 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(форма № 503-8/0)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 та консультаційного висновку спеціаліста (</w:t>
      </w:r>
      <w:hyperlink r:id="rId19" w:anchor="n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028/о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), затвердженого наказом Міністерства охорони здоров’я України від 14 лютого 2012 року </w:t>
      </w:r>
      <w:hyperlink r:id="rId2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110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зареєстрованим у Міністерстві юстиції України 28 квітня 2012 року за № 661/20974.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2" w:name="n62"/>
      <w:bookmarkEnd w:id="62"/>
      <w:r>
        <w:rPr>
          <w:rStyle w:val="spanrvts0"/>
          <w:b w:val="0"/>
          <w:bCs w:val="0"/>
          <w:i w:val="0"/>
          <w:iCs w:val="0"/>
          <w:lang w:val="uk" w:eastAsia="uk"/>
        </w:rPr>
        <w:t>3. На підставі довідки (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503-9/0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), яка вказує на позитивний результат підтверджувальних досліджень на наявність антитіл до ВІЛ у зразку крові, взятої протягом п’яти днів після аварії, рішення про зв’язок зараження ВІЛ-інфекцією з виконанням працівником своїх професійних обов’язків режимною комісією не приймається.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3" w:name="n63"/>
      <w:bookmarkEnd w:id="63"/>
      <w:r>
        <w:rPr>
          <w:rStyle w:val="spanrvts0"/>
          <w:b w:val="0"/>
          <w:bCs w:val="0"/>
          <w:i w:val="0"/>
          <w:iCs w:val="0"/>
          <w:lang w:val="uk" w:eastAsia="uk"/>
        </w:rPr>
        <w:t>4. Висновок про зв'язок зараження ВІЛ-інфекцією з виконанням працівником своїх професійних обов’язків на підставі довідок про негативний результат підтверджувальних досліджень на наявність антитіл до ВІЛ (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форма № 503-8/0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) через три, або шість, або дванадцять місяців після аварії не складається.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4" w:name="n64"/>
      <w:bookmarkEnd w:id="6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5. Висновок про зв'язок зараження ВІЛ-інфекцією з виконанням працівником своїх професійних обов’язків складається режимною комісією у трьох примірниках (по одному примірнику режимній комісії, працівнику та спеціалізованому лікувально-профілактичному закладу, включеному до переліку спеціалізованих лікувально-профілактичних закладів, які мають право встановлювати остаточний діагноз щодо професійних захворювань) за інформованою письмовою згодою працівника в довільній формі. 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5" w:name="n65"/>
      <w:bookmarkEnd w:id="65"/>
      <w:r>
        <w:rPr>
          <w:rStyle w:val="spanrvts0"/>
          <w:b w:val="0"/>
          <w:bCs w:val="0"/>
          <w:i w:val="0"/>
          <w:iCs w:val="0"/>
          <w:lang w:val="uk" w:eastAsia="uk"/>
        </w:rPr>
        <w:t>6. Уся інформація, яка використовується при підготовці висновку про зв’язок зараження ВІЛ-інфекцією з виконанням працівником своїх професійних обов’язків, є конфіденційною.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605"/>
        <w:gridCol w:w="575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66" w:name="n66"/>
            <w:bookmarkEnd w:id="66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Директор Департаменту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медичної допомоги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С. Хотіна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67" w:name="n72"/>
      <w:bookmarkEnd w:id="67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68" w:name="n67"/>
            <w:bookmarkEnd w:id="68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1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Порядку підтвердження зв’язку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зараження ВІЛ-інфекцією з виконанням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працівником своїх професійних обов’язків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(підпункт 11 пункту 6 розділу IІ)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9" w:name="n68"/>
      <w:bookmarkEnd w:id="69"/>
      <w:hyperlink r:id="rId21" w:history="1">
        <w:r>
          <w:rPr>
            <w:rStyle w:val="arvts103"/>
            <w:b/>
            <w:bCs/>
            <w:i w:val="0"/>
            <w:iCs w:val="0"/>
            <w:lang w:val="uk" w:eastAsia="uk"/>
          </w:rPr>
          <w:t>АКТ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розслідування випадку контакту із джерелом потенційного інфікування ВІЛ, пов’язаного з виконанням професійних обов’язків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70" w:name="n69"/>
            <w:bookmarkEnd w:id="70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2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Порядку підтвердження зв’язку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зараження ВІЛ-інфекцією з виконанням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працівником своїх професійних обов’язків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(пункт 1 розділу IІI)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71" w:name="n70"/>
      <w:bookmarkEnd w:id="71"/>
      <w:hyperlink r:id="rId22" w:history="1">
        <w:r>
          <w:rPr>
            <w:rStyle w:val="arvts103"/>
            <w:b/>
            <w:bCs/>
            <w:i w:val="0"/>
            <w:iCs w:val="0"/>
            <w:lang w:val="uk" w:eastAsia="uk"/>
          </w:rPr>
          <w:t>ВИСНОВОК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про зв’язок зараження ВІЛ-інфекцією з виконанням працівником своїх професійних обов’язків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Порядку підтвердження зв'язку зараження ВІЛ-інфекцією з виконанням працівником своїх професійних обов'язків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МОЗ України від 17.03.2015 № 148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17.03.2015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https://zakon.rada.gov.ua/go/z0377-15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19.07.2023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7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21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f441731n75.doc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12.05.15 17:20, 43 кб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22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f441731n74.doc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23.04.15 12:40, 26 кб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28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30.04.2015 — 2015 р., № 32, стор. 47, стаття 931, код акта 76521/2015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254%D0%BA/96-%D0%B2%D1%80" TargetMode="External" /><Relationship Id="rId11" Type="http://schemas.openxmlformats.org/officeDocument/2006/relationships/hyperlink" Target="https://zakon.rada.gov.ua/laws/show/z1978-13" TargetMode="External" /><Relationship Id="rId12" Type="http://schemas.openxmlformats.org/officeDocument/2006/relationships/hyperlink" Target="https://zakon.rada.gov.ua/laws/show/z1980-13" TargetMode="External" /><Relationship Id="rId13" Type="http://schemas.openxmlformats.org/officeDocument/2006/relationships/hyperlink" Target="https://zakon.rada.gov.ua/laws/show/z0902-13" TargetMode="External" /><Relationship Id="rId14" Type="http://schemas.openxmlformats.org/officeDocument/2006/relationships/hyperlink" Target="https://zakon.rada.gov.ua/laws/show/z0330-11" TargetMode="External" /><Relationship Id="rId15" Type="http://schemas.openxmlformats.org/officeDocument/2006/relationships/hyperlink" Target="https://zakon.rada.gov.ua/laws/show/z0331-11" TargetMode="External" /><Relationship Id="rId16" Type="http://schemas.openxmlformats.org/officeDocument/2006/relationships/hyperlink" Target="https://zakon.rada.gov.ua/laws/show/z0332-11" TargetMode="External" /><Relationship Id="rId17" Type="http://schemas.openxmlformats.org/officeDocument/2006/relationships/hyperlink" Target="https://zakon.rada.gov.ua/laws/show/z0322-11" TargetMode="External" /><Relationship Id="rId18" Type="http://schemas.openxmlformats.org/officeDocument/2006/relationships/hyperlink" Target="https://zakon.rada.gov.ua/laws/show/z0319-11" TargetMode="External" /><Relationship Id="rId19" Type="http://schemas.openxmlformats.org/officeDocument/2006/relationships/hyperlink" Target="https://zakon.rada.gov.ua/laws/show/z0683-1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zakon.rada.gov.ua/laws/show/z0661-12" TargetMode="External" /><Relationship Id="rId21" Type="http://schemas.openxmlformats.org/officeDocument/2006/relationships/hyperlink" Target="https://zakon.rada.gov.ua/laws/file/text/34/f441731n75.doc" TargetMode="External" /><Relationship Id="rId22" Type="http://schemas.openxmlformats.org/officeDocument/2006/relationships/hyperlink" Target="https://zakon.rada.gov.ua/laws/file/text/34/f441731n74.doc" TargetMode="External" /><Relationship Id="rId23" Type="http://schemas.openxmlformats.org/officeDocument/2006/relationships/image" Target="media/image2.png" /><Relationship Id="rId24" Type="http://schemas.openxmlformats.org/officeDocument/2006/relationships/image" Target="media/image3.png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1972-12" TargetMode="External" /><Relationship Id="rId6" Type="http://schemas.openxmlformats.org/officeDocument/2006/relationships/hyperlink" Target="https://zakon.rada.gov.ua/laws/show/z0378-15" TargetMode="External" /><Relationship Id="rId7" Type="http://schemas.openxmlformats.org/officeDocument/2006/relationships/hyperlink" Target="https://zakon.rada.gov.ua/laws/show/z0820-00" TargetMode="External" /><Relationship Id="rId8" Type="http://schemas.openxmlformats.org/officeDocument/2006/relationships/hyperlink" Target="https://zakon.rada.gov.ua/laws/show/1105-14" TargetMode="External" /><Relationship Id="rId9" Type="http://schemas.openxmlformats.org/officeDocument/2006/relationships/hyperlink" Target="https://zakon.rada.gov.ua/laws/show/1642-98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підтвердження зв'язку зараження ВІЛ-інфекцією з виконанням працівником своїх професійних обов'язків | від 17.03.2015 № 148</dc:title>
  <cp:revision>0</cp:revision>
</cp:coreProperties>
</file>