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666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Додаток 3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666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листа ДУ «Центр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666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громадського здоров’я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666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МОЗ України»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666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 _____________2023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666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666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«ЗАТВЕРДЖЕНО»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666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Медичним директором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666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Наказ №___ від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6663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Хірургічна обробка рук </w:t>
      </w:r>
      <w:r w:rsidDel="00000000" w:rsidR="00000000" w:rsidRPr="00000000">
        <w:rPr>
          <w:rtl w:val="0"/>
        </w:rPr>
      </w:r>
    </w:p>
    <w:tbl>
      <w:tblPr>
        <w:tblStyle w:val="Table1"/>
        <w:tblW w:w="983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54"/>
        <w:gridCol w:w="3782"/>
        <w:gridCol w:w="1618"/>
        <w:gridCol w:w="1134"/>
        <w:gridCol w:w="1548"/>
        <w:tblGridChange w:id="0">
          <w:tblGrid>
            <w:gridCol w:w="1754"/>
            <w:gridCol w:w="3782"/>
            <w:gridCol w:w="1618"/>
            <w:gridCol w:w="1134"/>
            <w:gridCol w:w="154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Посада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ПІБ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Підпис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Розробив: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Узгоджено: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Затверджено: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ЗМІСТ: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та сфера застосування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Терміни, визначення та скорочення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Відповідальність та компетенції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Технічні засоби, сировина та матеріали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Інструкція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2" w:right="0" w:hanging="45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Місце проведення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2" w:right="0" w:hanging="45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Показання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2" w:right="0" w:hanging="45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Послідовність дій (Схема)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2" w:right="0" w:hanging="45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Загальні правила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Навчання персоналу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Заходи безпеки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Посилання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ТА СФЕРА ЗАСТОСУВАННЯ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Зниження ризику передачі до пацієнта потенційно небезпечних мікроорганізмів та захист персоналу від мікрофлори пацієнта.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Процедура застосовується медичним персоналом ЗОЗ, що задіяний в роботі хірургічного відділення та який виконує процедури перелічені в п.5.2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ТА СКОРОЧЕННЯ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Антисептик для рук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спиртовмісний дезінфекційний засіб (рідина, гель або піна), що застосовується для нанесення на шкіру рук з метою знищення мікроорганізмів;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Хірургічна антисептична обробка рук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процедура, яка забезпечує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дезінфекцію поверхні шкіри від патогенної транзиторної та частково резидентної мікрофлори;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Миття рук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миття рук з милом та водою;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Диспенсер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пристрій для контрольованої видачі речовини або рідини заданою кількістю, об'ємом або вагою.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ВІДПОВІДАЛЬНІСТЬ ТА КОМПЕТЕНЦІЇ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Загальну відповідальність за дотримання правил хірургічної обробки рук несе керівник відділу інфекційного контролю та керівник структурного підрозділу.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Персональну відповідальність за дотримання правил хірургічної обробки рук несуть усі працівники закладу охорони здоров’я, що виконують процедури перелічених в п.5.2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ТЕХНІЧНІ ЗАСОБИ, СИРОВИНА, МАТЕРІАЛИ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Умивальник з краном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Тепла проточна вода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Закриті диспенсери для рушників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Одноразові паперові рушники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Диспенсер для мила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Диспенсер зі спиртовмісним антисептиком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Рідке мило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Ілюстрації з правилами миття рук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Відро з педаллю для сміття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ІНСТРУКЦІЯ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1080" w:right="1" w:hanging="229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Місце проведення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1080" w:right="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Точки, обладнані для проведення хірургічної обробки рук.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1134" w:right="1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Показання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Всі оперативні втручання, включаючи малоінвазивні.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Введення катетера для спінальної або епідуральної анестезії.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Пологи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Інвазивні рентгенологічні дослідження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Встановлення центрального венозного доступу (катетер/порт), а також встановлення внутрішньоартеріального доступу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1162" w:right="229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851" w:right="229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5.3Послідовність дій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Перший етап: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Відкрити кран з водою, відрегулювати температуру і натиск води до комфортного або піднести руки під кран з безконтактним включенням подачі води і дочекатися теплої води;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Змочити кисті, передпліччя до ліктьового суглоба водою;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Взяти порцію рідкого мила, нанести і ретельно намилити змочені ділянки, включаючи ліктьовий згин;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Змити мило, даючи воді стекти від кінчиків пальців до ліктя. Руки весь час перебувають у положенні «кінчики пальців вище ліктя».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Взяти другу порцію рідкого мила, нанести її на всі поверхні кистей, зап’ясть до середини передпліччя.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Круговими рухами помити обидва зап’ястя і частини передпліччя (див. СОП з гігієнічного миття рук з милом), кожен етап повторюється 5-8 разів: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круговими рухами потерти одну долоню об іншу;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правою долонею розтирати тильну поверхню лівої кисті, поміняти руки;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розтирати долонею долоню, переплітаючи пальці;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з’єднати пальці в «замок», тильною стороною зігнутих пальців розтирати долоню іншої руки;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охопити основу великого пальця лівої руки між великим і вказівним пальцями правої руки, терти обертальними рухами.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Поміняти руки;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34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круговим рухом терти долоню лівої кисті кінчиками пальців правої руки, поміняти руки.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Акуратно, уникаючи розбризкування, підставити кисті під воду в положенні «пальці вище зап’ясть». Повертаючи руки під струменем, домогтися повного змивання мила і піни.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Почекати, поки надлишки води стечуть з ліктів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струшуючи воду з рук, взяти дві порції серветок з диспенсера.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Складеними рушниками промокнути воду з поверхні руки, поетапно від кінчиків пальців до ліктя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Поміняти руки. Якщо необхідно – взяти ще серветок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Домогтися повного висушування рук.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Використані серветки скинути в педальне відро з відходами категорії А.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11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Ліктем або з використанням останньої порції серветок закрити кран, якщо він не має безконтактного припинення подачі води.</w:t>
        <w:br w:type="textWrapping"/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4"/>
        </w:tabs>
        <w:spacing w:after="0" w:before="0" w:line="240" w:lineRule="auto"/>
        <w:ind w:left="870" w:right="14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4"/>
        </w:tabs>
        <w:spacing w:after="0" w:before="0" w:line="240" w:lineRule="auto"/>
        <w:ind w:left="870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Другий етап: Техніка хірургічної обробки рук антисептиком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налити 5 мл антисептику в долоню лівої руки, використовуючи лікоть правої руки для натискання на ручку диспенсера (якщо диспенсер не автоматичний);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вмочити пальці правої руки в антисептик і тримати їх 5 секунд;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провести обробку шкіри передпліччя до ліктя (наносити антисептик слід круговими рухами охоплюючи всю поверхню шкіри; обробка проводиться до повного висихання антисептику - 10 - 15 секунд);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налити 5 мл антисептику в долоню правої руки, використовуючи лікоть лівої руки для натискання на ручку диспенсера;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вмочити пальці лівої руки в антисептик і тримати їх 5 секунд;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провести обробку шкіри передпліччя до ліктя (наносити антисептик слід круговими рухами охоплюючи всю поверхню шкіри; обробка проводиться до повного висихання антисептику - 10 - 15 секунд);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налити 3 - 5 мл антисептику в долоню, використовуючи лікоть іншої руки для натискання на ручку диспенсера;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провести обробку рук дотримуючись стандартної процедури;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 проведення обробки можуть бути одягнені стерильний хірургічний одяг і медичні рукавички.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276"/>
        </w:tabs>
        <w:spacing w:after="3" w:before="0" w:line="240" w:lineRule="auto"/>
        <w:ind w:left="0" w:right="169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276"/>
        </w:tabs>
        <w:spacing w:after="3" w:before="0" w:line="240" w:lineRule="auto"/>
        <w:ind w:left="0" w:right="169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276"/>
        </w:tabs>
        <w:spacing w:after="3" w:before="0" w:line="240" w:lineRule="auto"/>
        <w:ind w:left="0" w:right="169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276"/>
        </w:tabs>
        <w:spacing w:after="3" w:before="0" w:line="240" w:lineRule="auto"/>
        <w:ind w:left="0" w:right="169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276"/>
        </w:tabs>
        <w:spacing w:after="3" w:before="0" w:line="240" w:lineRule="auto"/>
        <w:ind w:left="0" w:right="169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276"/>
        </w:tabs>
        <w:spacing w:after="3" w:before="0" w:line="240" w:lineRule="auto"/>
        <w:ind w:left="0" w:right="169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276"/>
        </w:tabs>
        <w:spacing w:after="3" w:before="0" w:line="240" w:lineRule="auto"/>
        <w:ind w:left="0" w:right="169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276"/>
        </w:tabs>
        <w:spacing w:after="3" w:before="0" w:line="240" w:lineRule="auto"/>
        <w:ind w:left="0" w:right="169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276"/>
        </w:tabs>
        <w:spacing w:after="3" w:before="0" w:line="240" w:lineRule="auto"/>
        <w:ind w:left="0" w:right="1699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Схема хірургічної обробки рук антисептиком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4895850" cy="1193800"/>
            <wp:effectExtent b="0" l="0" r="0" t="0"/>
            <wp:docPr descr="C:\Users\georgina\AppData\Local\Microsoft\Windows\INetCache\Content.MSO\AE0A6098.tmp" id="1031" name="image1.jpg"/>
            <a:graphic>
              <a:graphicData uri="http://schemas.openxmlformats.org/drawingml/2006/picture">
                <pic:pic>
                  <pic:nvPicPr>
                    <pic:cNvPr descr="C:\Users\georgina\AppData\Local\Microsoft\Windows\INetCache\Content.MSO\AE0A6098.tmp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4895850" cy="1174750"/>
            <wp:effectExtent b="0" l="0" r="0" t="0"/>
            <wp:docPr descr="C:\Users\georgina\AppData\Local\Microsoft\Windows\INetCache\Content.MSO\68E9CA66.tmp" id="1033" name="image6.jpg"/>
            <a:graphic>
              <a:graphicData uri="http://schemas.openxmlformats.org/drawingml/2006/picture">
                <pic:pic>
                  <pic:nvPicPr>
                    <pic:cNvPr descr="C:\Users\georgina\AppData\Local\Microsoft\Windows\INetCache\Content.MSO\68E9CA66.tmp" id="0" name="image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174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4895850" cy="1250950"/>
            <wp:effectExtent b="0" l="0" r="0" t="0"/>
            <wp:docPr descr="C:\Users\georgina\AppData\Local\Microsoft\Windows\INetCache\Content.MSO\B77CAB64.tmp" id="1032" name="image3.jpg"/>
            <a:graphic>
              <a:graphicData uri="http://schemas.openxmlformats.org/drawingml/2006/picture">
                <pic:pic>
                  <pic:nvPicPr>
                    <pic:cNvPr descr="C:\Users\georgina\AppData\Local\Microsoft\Windows\INetCache\Content.MSO\B77CAB64.tmp"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250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4133850" cy="1231900"/>
            <wp:effectExtent b="0" l="0" r="0" t="0"/>
            <wp:docPr descr="C:\Users\georgina\AppData\Local\Microsoft\Windows\INetCache\Content.MSO\68DE7B12.tmp" id="1035" name="image5.jpg"/>
            <a:graphic>
              <a:graphicData uri="http://schemas.openxmlformats.org/drawingml/2006/picture">
                <pic:pic>
                  <pic:nvPicPr>
                    <pic:cNvPr descr="C:\Users\georgina\AppData\Local\Microsoft\Windows\INetCache\Content.MSO\68DE7B12.tmp" id="0" name="image5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4895850" cy="1200150"/>
            <wp:effectExtent b="0" l="0" r="0" t="0"/>
            <wp:docPr descr="C:\Users\georgina\AppData\Local\Microsoft\Windows\INetCache\Content.MSO\B9231CF0.tmp" id="1034" name="image2.jpg"/>
            <a:graphic>
              <a:graphicData uri="http://schemas.openxmlformats.org/drawingml/2006/picture">
                <pic:pic>
                  <pic:nvPicPr>
                    <pic:cNvPr descr="C:\Users\georgina\AppData\Local\Microsoft\Windows\INetCache\Content.MSO\B9231CF0.tmp"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200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4895850" cy="1257300"/>
            <wp:effectExtent b="0" l="0" r="0" t="0"/>
            <wp:docPr descr="C:\Users\georgina\AppData\Local\Microsoft\Windows\INetCache\Content.MSO\BB2DC07E.tmp" id="1036" name="image4.jpg"/>
            <a:graphic>
              <a:graphicData uri="http://schemas.openxmlformats.org/drawingml/2006/picture">
                <pic:pic>
                  <pic:nvPicPr>
                    <pic:cNvPr descr="C:\Users\georgina\AppData\Local\Microsoft\Windows\INetCache\Content.MSO\BB2DC07E.tmp" id="0" name="image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4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1" w:hanging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5.5. Загальні правила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хірургічну обробку рук слід провести до одягання одноразової шапочки захисної від інфекційних агентів та медичної (хірургічної) маски, шляхом їх миття з милом і водою із залученням передпліччя та зап'ястків;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перед початком процедури слід зняти кільця, наручні годинники і браслети до того як приступити до гігієни рук та видалити бруд з-під нігтів, використовуючи нігтьочистку, під проточною водою;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штучні та нарощені нігті заборонені;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використовувати щітки для миття рук не рекомендовано;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заборонено використовувати хірургічний скраб для рук;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надягання стерильних рукавичок необхідно виконати хірургічну обробку рук із використанням антисептику для рук, що містить інгредієнти, які забезпечують довготривалий ефект  відповідно до Схеми;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необхідно дотримуватися інструкцій виробника по часу експозиції при використанні антисептика;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наносити антисептик слід лише на сухі руки;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використанні антисептику для рук необхідно використовувати достатню кількість засобу, аби руки та передпліччя під час хірургічної обробки залишалися вологими, але не менше 10 мл на одну обробку.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1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НАВЧАННЯ ПЕРСОНАЛУ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1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Навчання персоналу проводиться на початку працевлаштування й надалі не рідше 2 разів на рік.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1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ЗАХОДИ БЕЗПЕКИ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Раковини необхідно спроектувати так, аби кількість бризків була мінімальною (струмінь води має бути направленим у стік) для уникнення повторної контамінації рук.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уникнення контамінації паперових рушників потрібно використання закриті диспенсери.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допускати додавання рідкого мила в частково заповнений дозатор. Дозатори необхідно промити, продезінфікувати, висушити, після чого заповнити новою порцією мила.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потраплянні мила в очі чи на слизові оболонки промити водою.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ПОСИЛАННЯ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709" w:right="1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Наказ МОЗ№1614 від 03.08.2021 Про організацію профілактики інфекцій та інфекційного контролю в закладах охорони здоров’я та установах/ закладах надання соціальних послуг/ соціального захисту населення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https://zakon.rada.gov.ua/laws/show/z1318-21#n13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709" w:right="1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Guidelines on Hand Hygiene in Health Care – WHO, 2009.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https://www.who.int/publications/i/item/9789241597906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2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2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2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2"/>
        </w:tabs>
        <w:spacing w:after="60" w:before="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Примірний чек-лист до СОП «Хірургічна обробка рук»</w:t>
      </w:r>
    </w:p>
    <w:tbl>
      <w:tblPr>
        <w:tblStyle w:val="Table2"/>
        <w:tblW w:w="978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9"/>
        <w:gridCol w:w="8097"/>
        <w:gridCol w:w="559"/>
        <w:gridCol w:w="566"/>
        <w:tblGridChange w:id="0">
          <w:tblGrid>
            <w:gridCol w:w="559"/>
            <w:gridCol w:w="8097"/>
            <w:gridCol w:w="559"/>
            <w:gridCol w:w="56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ні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Наявний диспенсер для антисептика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Наявний антисептик спиртовмісний (вміст спирту не менше 65%)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Наявні ілюстрації з правилами втирання антисептика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Нігті натуральні, не нафарбовані, короткі.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Відсутні обручки, прикраси, годинник на руках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Кисті та передпліччя змочені водою до ліктьового суглоба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Взята порція рідкого мила, нанесено і ретельно намилені змочені ділянки, включаючи ліктьовий згин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Змити мило, даючи воді стекти від кінчиків пальців до ліктя. Руки весь час перебувають у положенні «кінчики пальців вище ліктя»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Взяти другу порцію рідкого мила, нанести її на всі поверхні кистей, зап’ясть до середини передпліччя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Круговими рухами помити обидва зап’ястя і частини передпліччя, кожен етап повторюється 5-8 разів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Круговими рухами потерти одну долоню об іншу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Правою долонею розтирати тильну поверхню лівої кисті, поміняти руки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Розтирати долонею долоню, переплітаючи пальці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З’єднати пальці в «замок», тильною стороною зігнутих пальців розтирати долоню іншої руки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Охопити основу великого пальця лівої руки між великим і вказівним пальцями правої руки, терти обертальними рухами. Поміняти руки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Круговим рухом терти долоню лівої кисті кінчиками пальців правої руки, поміняти руки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Акуратно, уникаючи розбризкування, підставити кисті під воду в положенні «пальці вище зап’ясть». Повертаючи руки під струменем, домогтися повного змивання мила і піни. Почекати, поки надлишки води стечуть з ліктів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 струшуючи воду з рук, взяти дві порції серветок з диспенсера. Складеними рушниками промокнути воду з поверхні руки, поетапно від кінчиків пальців до ліктя. Поміняти руки. Якщо необхідно – взяти ще серветок. Домогтися повного висушування рук. Використані серветки скинути в педальне відро з відходами категорії 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Ліктем або з використанням останньої порції серветок закрити кран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52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BM Plex Serif" w:cs="IBM Plex Serif" w:eastAsia="IBM Plex Serif" w:hAnsi="IBM Plex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Налити 5 мл антисептику в долоню лівої руки, використовуючи лікоть правої руки для натискання на ручку диспенсера;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752" w:right="14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w:rPr>
                <w:rFonts w:ascii="IBM Plex Serif" w:cs="IBM Plex Serif" w:eastAsia="IBM Plex Serif" w:hAnsi="IBM Plex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мочити пальці правої руки в антисептик і тримати їх 5 секунд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752" w:right="14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BM Plex Serif" w:cs="IBM Plex Serif" w:eastAsia="IBM Plex Serif" w:hAnsi="IBM Plex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Провести обробку шкіри передпліччя до ліктя (наносити антисептик слід круговими рухами охоплюючи всю поверхню шкіри; обробка проводиться до повного висихання антисептику - 10 - 15 секунд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752" w:right="14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IBM Plex Serif" w:cs="IBM Plex Serif" w:eastAsia="IBM Plex Serif" w:hAnsi="IBM Plex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BM Plex Serif" w:cs="IBM Plex Serif" w:eastAsia="IBM Plex Serif" w:hAnsi="IBM Plex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Налити 5 мл антисептику в долоню правої руки, використовуючи лікоть лівої руки для натискання на ручку диспенсера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752" w:right="14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BM Plex Serif" w:cs="IBM Plex Serif" w:eastAsia="IBM Plex Serif" w:hAnsi="IBM Plex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Вмочити пальці лівої руки в антисептик і тримати їх 5 секунд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752" w:right="14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BM Plex Serif" w:cs="IBM Plex Serif" w:eastAsia="IBM Plex Serif" w:hAnsi="IBM Plex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Провести обробку шкіри передпліччя до ліктя (наносити антисептик слід круговими рухами охоплюючи всю поверхню шкіри; обробка проводиться до повного висихання антисептику - 10 - 15 секунд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752" w:right="14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BM Plex Serif" w:cs="IBM Plex Serif" w:eastAsia="IBM Plex Serif" w:hAnsi="IBM Plex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Налити 3 - 5 мл антисептику в долоню, використовуючи лікоть іншої руки для натискання на ручку диспенсера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752" w:right="14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BM Plex Serif" w:cs="IBM Plex Serif" w:eastAsia="IBM Plex Serif" w:hAnsi="IBM Plex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Провести обробку рук дотримуючись стандартної процедури;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752" w:right="14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BM Plex Serif" w:cs="IBM Plex Serif" w:eastAsia="IBM Plex Serif" w:hAnsi="IBM Plex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 час хірургічної обробки руки  залишалися вологими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72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5" w:type="default"/>
          <w:headerReference r:id="rId16" w:type="first"/>
          <w:headerReference r:id="rId17" w:type="even"/>
          <w:footerReference r:id="rId18" w:type="default"/>
          <w:footerReference r:id="rId19" w:type="first"/>
          <w:footerReference r:id="rId20" w:type="even"/>
          <w:pgSz w:h="16838" w:w="11906" w:orient="portrait"/>
          <w:pgMar w:bottom="851" w:top="1134" w:left="1418" w:right="851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60" w:before="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Примірні тестові питання до СОП «Хірургічна обробка рук»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60" w:before="6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перший етап хірургічної обробки рук?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В наявності засобів для миття рук (мила, проточної води, паперових рушників, диспенсерів та ін.);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В митті рук з милом та водою з залученням кистей та передпліччя до ліктьового суглоба;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В нанесенні антисептику на передпліччя та кисті рук;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Зняти кільця, наручні годинники і браслети, лак на нігтях та нарощені нігті.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Показання до хірургічної обробки рук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контакту із пацієнтом;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асептичних процедур;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 ситуації, що пов'язана із ризиком контакту/контактом з біологічними рідинами;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 контакту із пацієнтом;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 контакту із об'єктами внутрішнього середовища ЗОЗ/ЗСЗ, що перебувають у безпосередній близькості із пацієнтом.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85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Всі оперативні втручання, включаючи малоінвазивні.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Введення катетера для спінальної або епідуральної анестезії.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Пологи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Інвазивні рентгенологічні дослідження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Встановлення центрального венозного доступу (катетер/порт), а також встановлення внутрішньоартеріального доступу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85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Всі оперативні втручання, включаючи малоінвазивні.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Введення катетера для спінальної або епідуральної анестезії.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Пологи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51"/>
        </w:tabs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Інвазивні рентгенологічні дослідження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 відвідування туалету;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85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hanging="49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руки видимо забруднені;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hanging="49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перед вживанням їжі;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hanging="49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 приходу в ЗОЗ/ЗСЗ та по закінченню робочої зміни;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hanging="49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руки забруднені кров’ю або іншими біологічними рідинами;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hanging="49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 відвідування туалету;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hanging="49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 ви сумніваєтеся у їх чистоті;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hanging="490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випадках високого ризику забруднення спороутворюючими мікроорганізмами (спалахи захворювань, що викликані C. Difficile клостридіум диффіциле) та норовірусами;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Скільки мл антисептику потрібно для хірургічної обробки рук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1 мл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3 мл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10 мл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5 мл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основі якого компонента слід використовувати антисептик для хірургічної обробки рук: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спирту;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пергідролю;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хлору;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первомуру.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 способом рекомендується сушити руки після миття?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за допомогою електросушарки;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за допомогою рушників з бавовни;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за допомогою одноразових паперових серветок.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природнім шляхом.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Який номер наказу МОЗ регламентує правила гігієни рук?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наказ номер 798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наказ номер 1614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наказ номер 823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наказ номер 822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Який мінімальний час необхідний для того, щоб спиртовмісний антисептик для рук знищив більшість мікроорганізмів на Ваших руках?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А. 30 секунд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В. 3 секунди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С. 1 хвилина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Д. 10 секунд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 із нижче перерахованого заборонено при хірургічній обробці рук?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А. штучні та нарощені нігті;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В. використовувати щітки для миття рук;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С. використовувати хірургічний скраб для рук;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Д. все вище вказане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Чому заборонено наносити антисептик на вологі руки?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А. знижується ефективність антисептика;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В. шкіра рук пересушується і подразнюється;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С. знижується захисний (гідроліпідний бар'єр шкіри) змінюється кислотне середовище  підвищується pH;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Д. все вище вказане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Миття рук з милом і водою призначене для: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А. знищення транзиторної флори з поверхні рук;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В. видалення бруду і частково транзиторної флори з поверхні рук;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С. знищення резидентної флори з поверхні рук;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Д. знищення транзиторної флори та часткове зменшення резидентної флори з поверхні рук.</w:t>
      </w:r>
    </w:p>
    <w:sectPr>
      <w:type w:val="nextPage"/>
      <w:pgSz w:h="16838" w:w="11906" w:orient="portrait"/>
      <w:pgMar w:bottom="1134" w:top="851" w:left="851" w:right="1418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Arial"/>
  <w:font w:name="Courier New"/>
  <w:font w:name="IBM Plex Serif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Сторінка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із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320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834"/>
      <w:gridCol w:w="105"/>
      <w:gridCol w:w="3121"/>
      <w:gridCol w:w="3260"/>
      <w:tblGridChange w:id="0">
        <w:tblGrid>
          <w:gridCol w:w="3834"/>
          <w:gridCol w:w="105"/>
          <w:gridCol w:w="3121"/>
          <w:gridCol w:w="3260"/>
        </w:tblGrid>
      </w:tblGridChange>
    </w:tblGrid>
    <w:tr>
      <w:trPr>
        <w:cantSplit w:val="0"/>
        <w:trHeight w:val="251" w:hRule="atLeast"/>
        <w:tblHeader w:val="0"/>
      </w:trPr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6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Назва закладу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7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ЗРАЗОК стандартної операційної процедури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51" w:hRule="atLeast"/>
        <w:tblHeader w:val="0"/>
      </w:trPr>
      <w:tc>
        <w:tcPr>
          <w:gridSpan w:val="3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7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  <w:tab w:val="center" w:leader="none" w:pos="404"/>
            </w:tabs>
            <w:spacing w:after="0" w:before="0" w:line="240" w:lineRule="auto"/>
            <w:ind w:left="720" w:right="0" w:firstLine="0"/>
            <w:jc w:val="both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СОП 1.</w:t>
          </w: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Хірургічна обробка рук 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7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РЕДАКЦІЯ 1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51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7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СТОР. -  - 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7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7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ВВЕДЕНА З _____________ Р.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162" w:hanging="1020"/>
      </w:pPr>
      <w:rPr>
        <w:b w:val="1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b w:val="1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1"/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360" w:hanging="360"/>
      </w:pPr>
      <w:rPr>
        <w:b w:val="1"/>
        <w:vertAlign w:val="baseline"/>
      </w:rPr>
    </w:lvl>
    <w:lvl w:ilvl="1">
      <w:start w:val="1"/>
      <w:numFmt w:val="bullet"/>
      <w:lvlText w:val="●"/>
      <w:lvlJc w:val="left"/>
      <w:pPr>
        <w:ind w:left="1080" w:hanging="720"/>
      </w:pPr>
      <w:rPr>
        <w:rFonts w:ascii="Noto Sans Symbols" w:cs="Noto Sans Symbols" w:eastAsia="Noto Sans Symbols" w:hAnsi="Noto Sans Symbols"/>
        <w:b w:val="1"/>
        <w:vertAlign w:val="baseline"/>
      </w:rPr>
    </w:lvl>
    <w:lvl w:ilvl="2">
      <w:start w:val="1"/>
      <w:numFmt w:val="decimal"/>
      <w:lvlText w:val="%1.●.%3."/>
      <w:lvlJc w:val="left"/>
      <w:pPr>
        <w:ind w:left="1440" w:hanging="720"/>
      </w:pPr>
      <w:rPr>
        <w:b w:val="0"/>
        <w:vertAlign w:val="baseline"/>
      </w:rPr>
    </w:lvl>
    <w:lvl w:ilvl="3">
      <w:start w:val="1"/>
      <w:numFmt w:val="decimal"/>
      <w:lvlText w:val="%1.●.%3.%4."/>
      <w:lvlJc w:val="left"/>
      <w:pPr>
        <w:ind w:left="2160" w:hanging="1080"/>
      </w:pPr>
      <w:rPr>
        <w:b w:val="0"/>
        <w:vertAlign w:val="baseline"/>
      </w:rPr>
    </w:lvl>
    <w:lvl w:ilvl="4">
      <w:start w:val="1"/>
      <w:numFmt w:val="decimal"/>
      <w:lvlText w:val="%1.●.%3.%4.%5."/>
      <w:lvlJc w:val="left"/>
      <w:pPr>
        <w:ind w:left="2520" w:hanging="1080"/>
      </w:pPr>
      <w:rPr>
        <w:b w:val="0"/>
        <w:vertAlign w:val="baseline"/>
      </w:rPr>
    </w:lvl>
    <w:lvl w:ilvl="5">
      <w:start w:val="1"/>
      <w:numFmt w:val="decimal"/>
      <w:lvlText w:val="%1.●.%3.%4.%5.%6."/>
      <w:lvlJc w:val="left"/>
      <w:pPr>
        <w:ind w:left="3240" w:hanging="1440"/>
      </w:pPr>
      <w:rPr>
        <w:b w:val="0"/>
        <w:vertAlign w:val="baseline"/>
      </w:rPr>
    </w:lvl>
    <w:lvl w:ilvl="6">
      <w:start w:val="1"/>
      <w:numFmt w:val="decimal"/>
      <w:lvlText w:val="%1.●.%3.%4.%5.%6.%7."/>
      <w:lvlJc w:val="left"/>
      <w:pPr>
        <w:ind w:left="3600" w:hanging="1440"/>
      </w:pPr>
      <w:rPr>
        <w:b w:val="0"/>
        <w:vertAlign w:val="baseline"/>
      </w:rPr>
    </w:lvl>
    <w:lvl w:ilvl="7">
      <w:start w:val="1"/>
      <w:numFmt w:val="decimal"/>
      <w:lvlText w:val="%1.●.%3.%4.%5.%6.%7.%8."/>
      <w:lvlJc w:val="left"/>
      <w:pPr>
        <w:ind w:left="4320" w:hanging="1800"/>
      </w:pPr>
      <w:rPr>
        <w:b w:val="0"/>
        <w:vertAlign w:val="baseline"/>
      </w:rPr>
    </w:lvl>
    <w:lvl w:ilvl="8">
      <w:start w:val="1"/>
      <w:numFmt w:val="decimal"/>
      <w:lvlText w:val="%1.●.%3.%4.%5.%6.%7.%8.%9."/>
      <w:lvlJc w:val="left"/>
      <w:pPr>
        <w:ind w:left="4680" w:hanging="1800"/>
      </w:pPr>
      <w:rPr>
        <w:b w:val="0"/>
        <w:vertAlign w:val="baseline"/>
      </w:rPr>
    </w:lvl>
  </w:abstractNum>
  <w:abstractNum w:abstractNumId="1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162" w:hanging="1020"/>
      </w:pPr>
      <w:rPr>
        <w:b w:val="1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75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after="60" w:before="60"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hAnsi="Arial"/>
      <w:w w:val="100"/>
      <w:position w:val="-1"/>
      <w:sz w:val="44"/>
      <w:effect w:val="none"/>
      <w:vertAlign w:val="baseline"/>
      <w:cs w:val="0"/>
      <w:em w:val="none"/>
      <w:lang w:bidi="ar-SA" w:eastAsia="ru-RU" w:val="uk-UA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FR1">
    <w:name w:val="FR1"/>
    <w:next w:val="FR1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before="40" w:line="1" w:lineRule="atLeast"/>
      <w:ind w:left="40"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Серт_заголовок2">
    <w:name w:val="Серт_заголовок2"/>
    <w:basedOn w:val="Заголовок2"/>
    <w:next w:val="Обычный"/>
    <w:autoRedefine w:val="0"/>
    <w:hidden w:val="0"/>
    <w:qFormat w:val="0"/>
    <w:pPr>
      <w:keepNext w:val="1"/>
      <w:numPr>
        <w:ilvl w:val="0"/>
        <w:numId w:val="4"/>
      </w:numPr>
      <w:suppressAutoHyphens w:val="1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Times New Roman" w:cs="Times New Roman" w:hAnsi="Times New Roman"/>
      <w:b w:val="1"/>
      <w:bCs w:val="1"/>
      <w:i w:val="0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uk-UA"/>
    </w:rPr>
  </w:style>
  <w:style w:type="paragraph" w:styleId="Серт_заголовок3">
    <w:name w:val="Серт_заголовок3"/>
    <w:basedOn w:val="Серт_заголовок2"/>
    <w:next w:val="Серт_заголовок3"/>
    <w:autoRedefine w:val="0"/>
    <w:hidden w:val="0"/>
    <w:qFormat w:val="0"/>
    <w:pPr>
      <w:keepNext w:val="1"/>
      <w:numPr>
        <w:ilvl w:val="0"/>
        <w:numId w:val="4"/>
      </w:numPr>
      <w:suppressAutoHyphens w:val="1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Times New Roman" w:cs="Times New Roman" w:hAnsi="Times New Roman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uk-UA"/>
    </w:rPr>
  </w:style>
  <w:style w:type="paragraph" w:styleId="БС">
    <w:name w:val="БС"/>
    <w:basedOn w:val="Обычный"/>
    <w:next w:val="БС"/>
    <w:autoRedefine w:val="0"/>
    <w:hidden w:val="0"/>
    <w:qFormat w:val="0"/>
    <w:pPr>
      <w:suppressAutoHyphens w:val="1"/>
      <w:spacing w:after="6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paragraph" w:styleId="Нумерованныйсписок">
    <w:name w:val="Нумерованный список"/>
    <w:basedOn w:val="Обычный"/>
    <w:next w:val="Нумерованныйсписок"/>
    <w:autoRedefine w:val="0"/>
    <w:hidden w:val="0"/>
    <w:qFormat w:val="0"/>
    <w:pPr>
      <w:numPr>
        <w:ilvl w:val="0"/>
        <w:numId w:val="5"/>
      </w:num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uk-UA"/>
    </w:rPr>
  </w:style>
  <w:style w:type="paragraph" w:styleId="Маркированныйсписок">
    <w:name w:val="Маркированный список"/>
    <w:basedOn w:val="Обычный"/>
    <w:next w:val="Маркированныйсписок"/>
    <w:autoRedefine w:val="0"/>
    <w:hidden w:val="0"/>
    <w:qFormat w:val="0"/>
    <w:pPr>
      <w:numPr>
        <w:ilvl w:val="0"/>
        <w:numId w:val="1"/>
      </w:num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Маркированныйсписок3">
    <w:name w:val="Маркированный список 3"/>
    <w:basedOn w:val="Обычный"/>
    <w:next w:val="Маркированныйсписок3"/>
    <w:autoRedefine w:val="0"/>
    <w:hidden w:val="0"/>
    <w:qFormat w:val="0"/>
    <w:pPr>
      <w:numPr>
        <w:ilvl w:val="0"/>
        <w:numId w:val="2"/>
      </w:num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uk-UA"/>
    </w:rPr>
  </w:style>
  <w:style w:type="paragraph" w:styleId="Основнойтекст3">
    <w:name w:val="Основной текст 3"/>
    <w:basedOn w:val="Обычный"/>
    <w:next w:val="Основнойтекст3"/>
    <w:autoRedefine w:val="0"/>
    <w:hidden w:val="0"/>
    <w:qFormat w:val="0"/>
    <w:pPr>
      <w:suppressAutoHyphens w:val="1"/>
      <w:autoSpaceDE w:val="0"/>
      <w:autoSpaceDN w:val="0"/>
      <w:adjustRightInd w:val="0"/>
      <w:spacing w:after="60" w:before="6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caps w:val="1"/>
      <w:w w:val="100"/>
      <w:position w:val="-1"/>
      <w:sz w:val="28"/>
      <w:szCs w:val="32"/>
      <w:effect w:val="none"/>
      <w:vertAlign w:val="baseline"/>
      <w:cs w:val="0"/>
      <w:em w:val="none"/>
      <w:lang w:bidi="ar-SA" w:eastAsia="ru-RU" w:val="uk-UA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after="12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ОсновнойтекстЗнак">
    <w:name w:val="Основной текст Знак"/>
    <w:next w:val="ОсновнойтекстЗнак"/>
    <w:autoRedefine w:val="0"/>
    <w:hidden w:val="0"/>
    <w:qFormat w:val="0"/>
    <w:rPr>
      <w:rFonts w:ascii="Arial" w:hAnsi="Arial"/>
      <w:w w:val="100"/>
      <w:position w:val="-1"/>
      <w:sz w:val="26"/>
      <w:effect w:val="none"/>
      <w:vertAlign w:val="baseline"/>
      <w:cs w:val="0"/>
      <w:em w:val="none"/>
      <w:lang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rFonts w:ascii="Arial" w:hAnsi="Arial"/>
      <w:w w:val="100"/>
      <w:position w:val="-1"/>
      <w:sz w:val="26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after="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Знакпримечания">
    <w:name w:val="Знак примечания"/>
    <w:next w:val="Знакпримечания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Текстпримечания">
    <w:name w:val="Текст примечания"/>
    <w:basedOn w:val="Обычный"/>
    <w:next w:val="Текстпримечания"/>
    <w:autoRedefine w:val="0"/>
    <w:hidden w:val="0"/>
    <w:qFormat w:val="0"/>
    <w:p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ТекстпримечанияЗнак">
    <w:name w:val="Текст примечания Знак"/>
    <w:next w:val="ТекстпримечанияЗнак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/>
    </w:rPr>
  </w:style>
  <w:style w:type="paragraph" w:styleId="Темапримечания">
    <w:name w:val="Тема примечания"/>
    <w:basedOn w:val="Текстпримечания"/>
    <w:next w:val="Текстпримечания"/>
    <w:autoRedefine w:val="0"/>
    <w:hidden w:val="0"/>
    <w:qFormat w:val="0"/>
    <w:p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ТемапримечанияЗнак">
    <w:name w:val="Тема примечания Знак"/>
    <w:next w:val="ТемапримечанияЗнак"/>
    <w:autoRedefine w:val="0"/>
    <w:hidden w:val="0"/>
    <w:qFormat w:val="0"/>
    <w:rPr>
      <w:rFonts w:ascii="Arial" w:hAnsi="Arial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3.xml"/><Relationship Id="rId11" Type="http://schemas.openxmlformats.org/officeDocument/2006/relationships/image" Target="media/image2.jpg"/><Relationship Id="rId10" Type="http://schemas.openxmlformats.org/officeDocument/2006/relationships/image" Target="media/image5.jpg"/><Relationship Id="rId13" Type="http://schemas.openxmlformats.org/officeDocument/2006/relationships/hyperlink" Target="https://zakon.rada.gov.ua/laws/show/z1318-21#n13" TargetMode="Externa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5" Type="http://schemas.openxmlformats.org/officeDocument/2006/relationships/header" Target="header3.xml"/><Relationship Id="rId14" Type="http://schemas.openxmlformats.org/officeDocument/2006/relationships/hyperlink" Target="https://www.who.int/publications/i/item/9789241597906" TargetMode="External"/><Relationship Id="rId17" Type="http://schemas.openxmlformats.org/officeDocument/2006/relationships/header" Target="header1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customXml" Target="../customXML/item1.xml"/><Relationship Id="rId18" Type="http://schemas.openxmlformats.org/officeDocument/2006/relationships/footer" Target="footer2.xml"/><Relationship Id="rId7" Type="http://schemas.openxmlformats.org/officeDocument/2006/relationships/image" Target="media/image1.jpg"/><Relationship Id="rId8" Type="http://schemas.openxmlformats.org/officeDocument/2006/relationships/image" Target="media/image6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BMPlexSerif-regular.ttf"/><Relationship Id="rId2" Type="http://schemas.openxmlformats.org/officeDocument/2006/relationships/font" Target="fonts/IBMPlexSerif-bold.ttf"/><Relationship Id="rId3" Type="http://schemas.openxmlformats.org/officeDocument/2006/relationships/font" Target="fonts/IBMPlexSerif-italic.ttf"/><Relationship Id="rId4" Type="http://schemas.openxmlformats.org/officeDocument/2006/relationships/font" Target="fonts/IBMPlexSerif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hxaOlEkoX1Y1aQ7vPx4FMziatA==">CgMxLjAyCGguZ2pkZ3hzMgloLjMwajB6bGwyCWguMWZvYjl0ZTgAciExdGdXYkE4eEtUOVlXVk11NlQ4WldiZ1ZGTnBJTFo3ZV8=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2016-06-03T11:19:00Z</dcterms:created>
  <dc:creator>nganich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