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Додаток 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 листа ДУ «Центр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громадського здоров’я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МОЗ України»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6663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 _____________2023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524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«ЗАТВЕРДЖЕНО»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Медичним директором ЗОЗ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666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Наказ №___ від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46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Заміна мила в диспенсері </w:t>
      </w: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dotted"/>
          <w:left w:color="000000" w:space="0" w:sz="4" w:val="dotted"/>
          <w:bottom w:color="000000" w:space="0" w:sz="4" w:val="dotted"/>
          <w:right w:color="000000" w:space="0" w:sz="4" w:val="dotted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9781"/>
        <w:tblGridChange w:id="0">
          <w:tblGrid>
            <w:gridCol w:w="9781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Загальна кількість екземплярів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3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4"/>
        <w:gridCol w:w="3782"/>
        <w:gridCol w:w="1618"/>
        <w:gridCol w:w="1134"/>
        <w:gridCol w:w="1548"/>
        <w:tblGridChange w:id="0">
          <w:tblGrid>
            <w:gridCol w:w="1754"/>
            <w:gridCol w:w="3782"/>
            <w:gridCol w:w="1618"/>
            <w:gridCol w:w="1134"/>
            <w:gridCol w:w="154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Посада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ПІБ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Підпис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Розробив: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Узгоджено: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Затверджено: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677"/>
                <w:tab w:val="right" w:leader="none" w:pos="9355"/>
              </w:tabs>
              <w:spacing w:after="60" w:before="60" w:line="240" w:lineRule="auto"/>
              <w:ind w:left="4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ЗМІСТ: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та сфера застосування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Терміни, визначення та скорочення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Відповідальність та компетенції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Технічні засоби, сировина та матеріали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Інструкція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Показання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Послідовність дій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62" w:right="0" w:hanging="45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Загальні правила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Навчання персоналу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Заходи безпеки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Посилання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МЕТА ТА СФЕРА ЗАСТОСУВАННЯ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1080" w:right="0" w:hanging="51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Зниження ризику передачі до пацієнта потенційно небезпечних мікроорганізмів та захист персоналу від мікрофлори пацієнта.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1080" w:right="0" w:hanging="51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Процедура застосовується всім медичним та немедичним персоналом ЗОЗ, що задіяний в роботі відділення: лікарі, медичні сестри, молодший медичний персонал, а також немедичний персонал.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ТЕРМІНИ, ВИЗНАЧЕННЯ ТА СКОРОЧЕННЯ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Диспенсер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пристрій для контрольованої видачі речовини або рідини заданою кількістю, об'ємом або вагою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ВІДПОВІДАЛЬНІСТЬ ТА КОМПЕТЕНЦІЇ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93"/>
        </w:tabs>
        <w:spacing w:after="60" w:before="6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Загальну відповідальність за дотримання правил гігієни рук несе керівник відділу інфекційного контролю та керівник структурного підрозділу.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93"/>
        </w:tabs>
        <w:spacing w:after="60" w:before="6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993"/>
        </w:tabs>
        <w:spacing w:after="60" w:before="6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Відповідальна за очищення диспенсера та заміну мила - сестра господиня відділення в якому знаходиться диспенсер.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ТЕХНІЧНІ ЗАСОБИ, СИРОВИНА, МАТЕРІАЛИ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Умивальник з теплою проточною водою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Безворсові серветки/ губки для очищення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993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Дезінфікуючий засіб для поверхонь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ІНСТРУКЦІЯ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8.00000000000006" w:lineRule="auto"/>
        <w:ind w:left="1134" w:right="1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Показання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8.00000000000006" w:lineRule="auto"/>
        <w:ind w:left="426" w:right="-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закінчення мила в диспенсері слід обов'язково дотримуватися рекомендацій щодо безпечного повторного використання дозатору, які зазначені в інструкції до виробу.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8.00000000000006" w:lineRule="auto"/>
        <w:ind w:left="1080" w:right="-1" w:hanging="22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Послідовність дій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hanging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Зніміть диспенсер з настінного кронштейна: для цього натисніть на клямку на задній стінці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пристрою та посуньте його вгору з кронштейна.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hanging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Видаліть нашарування залишків мила.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hanging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Очистіть корпус диспенсера та помпу гарячою водою, натиснувши на важіль дозатора декілька разів, щоб прокачати воду.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hanging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Прополосніть помпу гарячою водою.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34" w:right="0" w:hanging="34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Дезінфекцію корпуса слід провести за допомогою відповідного дезінфікуючого засобу для поверхонь шляхом занурення. Заповніть дезінфікуючим розчином дозатор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натиснувши на важіль дозатора декілька разів, щоб прокачати деззасіб.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34" w:right="0" w:hanging="34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Час експозиції та концентрацію засобу виконати згідно з інструкцією виробника дезінфікуючого засобу.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1134"/>
        </w:tabs>
        <w:spacing w:after="0" w:before="0" w:line="240" w:lineRule="auto"/>
        <w:ind w:left="1134" w:right="-142" w:hanging="34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Після дезінфекції прополосніть диспенсер водою, натисніть на важіль дозатора декілька разів, щоб прокачати воду.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34" w:right="0" w:hanging="34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Ретельно висушіть безворсовою серветкою або природним шляхом до повного зникнення вологи.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4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Залийте необхідну кількість рідкого мила.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4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Прокачайте помпу до появи мила.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1134"/>
        </w:tabs>
        <w:spacing w:after="0" w:before="0" w:line="240" w:lineRule="auto"/>
        <w:ind w:left="114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Наклейте новий стікер, вказавши на ньому назва засобу, термін придатності та поставте свій підпис.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1" w:hanging="229.0000000000000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Загальні правила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46" w:right="1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Заміна мила в диспесері має відбуватися згідно інструкції виробника.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46" w:right="1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Диспенсери мають бути справними, надійними і заповненими милом.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46" w:right="1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Щоб гарантувати належне функціонування диспенсеру та знизити ризики передачі інфекції, необхідно регулярно очищати диспенсер, перед кожною заміною мила.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46" w:right="1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заповнюйте диспенсер якщо він вологий, дочекайтеся повного висихання.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114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Не допускати додавання рідкого мила в частково заповнений дозатор.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146" w:right="1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080" w:right="1" w:hanging="370.9999999999999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Навчання персоналу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Навчання відповідальної особи та персоналу проводиться на початку працевлаштування й надалі не рідше 2 разів на рік.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426" w:right="1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ЗАХОДИ БЕЗПЕКИ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6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ПОСИЛАННЯ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80" w:right="0" w:hanging="5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Наказ МОЗ№1614 від 03.08.2021 Про організацію профілактики інфекцій та інфекційного контролю в закладах охорони здоров’я та установах/ закладах надання соціальних послуг/ соціального захисту населення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https://zakon.rada.gov.ua/laws/show/z1318-21#n13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1080" w:right="0" w:hanging="59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Guidelines on Hand Hygiene in Health Care – WHO, 2009  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https://www.who.int/publications/i/item/9789241597906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Інструкція виробника диспенсера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9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9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9"/>
        </w:tabs>
        <w:spacing w:after="60" w:before="6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Примірний чек-лист перевірки дотримання СОП «Заміна мила в диспенсері»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9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tbl>
      <w:tblPr>
        <w:tblStyle w:val="Table3"/>
        <w:tblW w:w="10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"/>
        <w:gridCol w:w="8112"/>
        <w:gridCol w:w="967"/>
        <w:gridCol w:w="993"/>
        <w:tblGridChange w:id="0">
          <w:tblGrid>
            <w:gridCol w:w="560"/>
            <w:gridCol w:w="8112"/>
            <w:gridCol w:w="967"/>
            <w:gridCol w:w="9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Призначена відповідальна особа за заміну мила в диспенсерах придатних для повторного використання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Так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Ні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Наявний умивальник з теплою проточною водою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Наявні безворсові серветки/губки для очищення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закінчення мила в диспенсері проводиться очищення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очищення проводиться дезінфекція диспенсера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дезінфекції проводиться промивання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Після промивання проводиться висушування диспенсера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Мило наливається в чистий та сухий диспенсер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720" w:right="0" w:hanging="72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Прикріплюється новий стікер, з назвою засобу, терміном придатності та підписом відповідальної особи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3" w:before="0" w:line="248.00000000000006" w:lineRule="auto"/>
              <w:ind w:left="0" w:right="1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49"/>
        </w:tabs>
        <w:spacing w:after="60" w:before="6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851" w:top="1134" w:left="851" w:right="424" w:header="709" w:footer="709"/>
          <w:pgNumType w:start="1"/>
        </w:sect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62"/>
        </w:tabs>
        <w:spacing w:after="3" w:before="0" w:line="248.00000000000006" w:lineRule="auto"/>
        <w:ind w:left="0" w:right="14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Примірні тестові питання до СОП «Заміна мила в диспенсері»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hanging="2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Хто повинен замінювати мило в диспенсері?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той, хто виявив, що мило закінчилося;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молодші медсестри;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відповідальна особа за заміну мила в диспенсері;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старша медсестра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hanging="2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наступна дія після зняття диспенсера зі стіни?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очищення диспенсера;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дезінфекція диспенсера;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промивання диспенсера чистою водою;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сушіння диспенсера.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hanging="2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Яка наступна дія після очищення диспенсера?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дезінфекція диспенсера;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промивання диспенсера чистою водою;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сушіння диспенсера;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прикріплення етикетки з терміном придатності мила.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8" w:right="0" w:hanging="2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Як часто потрібно проводити очищення та дезінфекцію диспенсера?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А. після проведення навчання;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В. перед кожною заміною мила;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С. за графіком;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Д. щомісяця.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8.00000000000006" w:lineRule="auto"/>
        <w:ind w:left="218" w:right="14" w:hanging="21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Чому не можна використовувати брускове мило?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8.00000000000006" w:lineRule="auto"/>
        <w:ind w:left="56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А. брускове мило – це застарілий спосіб миття рук;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8.00000000000006" w:lineRule="auto"/>
        <w:ind w:left="56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В. на брусковому милі залишаються часточки мікрофлори і саме там утворюється сприятливе середовище для мікроорганізмів;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8.00000000000006" w:lineRule="auto"/>
        <w:ind w:left="56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С. брускове мило подразнює шкіру рук і призводить до дерматитів;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8.00000000000006" w:lineRule="auto"/>
        <w:ind w:left="567" w:right="14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 всі варіанти правильні.</w:t>
      </w:r>
    </w:p>
    <w:sectPr>
      <w:type w:val="nextPage"/>
      <w:pgSz w:h="16838" w:w="11906" w:orient="portrait"/>
      <w:pgMar w:bottom="851" w:top="1134" w:left="1418" w:right="851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Сторінка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із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10320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834"/>
      <w:gridCol w:w="105"/>
      <w:gridCol w:w="3121"/>
      <w:gridCol w:w="3260"/>
      <w:tblGridChange w:id="0">
        <w:tblGrid>
          <w:gridCol w:w="3834"/>
          <w:gridCol w:w="105"/>
          <w:gridCol w:w="3121"/>
          <w:gridCol w:w="3260"/>
        </w:tblGrid>
      </w:tblGridChange>
    </w:tblGrid>
    <w:tr>
      <w:trPr>
        <w:cantSplit w:val="0"/>
        <w:trHeight w:val="251" w:hRule="atLeast"/>
        <w:tblHeader w:val="0"/>
      </w:trPr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Назва закладу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ЗРАЗОК стандартної операційної процедури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1" w:hRule="atLeast"/>
        <w:tblHeader w:val="0"/>
      </w:trPr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C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1" w:hRule="atLeast"/>
        <w:tblHeader w:val="0"/>
      </w:trPr>
      <w:tc>
        <w:tcPr>
          <w:gridSpan w:val="3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  <w:tab w:val="center" w:leader="none" w:pos="404"/>
            </w:tabs>
            <w:spacing w:after="0" w:before="0" w:line="240" w:lineRule="auto"/>
            <w:ind w:left="720" w:right="0" w:firstLine="0"/>
            <w:jc w:val="both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СОП 1.</w:t>
          </w: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Заміна мила в диспенсері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РЕДАКЦІЯ 1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51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СТОР. - 6 - </w:t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0D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ВВЕДЕНА З 04.01.2021 Р.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60" w:before="6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62" w:hanging="1020"/>
      </w:pPr>
      <w:rPr>
        <w:b w:val="1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b w:val="1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1"/>
        <w:vertAlign w:val="baseli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1146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218" w:hanging="360"/>
      </w:pPr>
      <w:rPr>
        <w:b w:val="0"/>
        <w:color w:val="000000"/>
        <w:sz w:val="23"/>
        <w:szCs w:val="23"/>
        <w:vertAlign w:val="baseline"/>
      </w:rPr>
    </w:lvl>
    <w:lvl w:ilvl="1">
      <w:start w:val="1"/>
      <w:numFmt w:val="lowerLetter"/>
      <w:lvlText w:val="%2."/>
      <w:lvlJc w:val="left"/>
      <w:pPr>
        <w:ind w:left="93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65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7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09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81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53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5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78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1162" w:hanging="1020"/>
      </w:pPr>
      <w:rPr>
        <w:b w:val="1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1">
    <w:name w:val="Заголовок 1"/>
    <w:basedOn w:val="Обычный"/>
    <w:next w:val="Обычный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after="60" w:before="60"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Arial" w:hAnsi="Arial"/>
      <w:w w:val="100"/>
      <w:position w:val="-1"/>
      <w:sz w:val="44"/>
      <w:effect w:val="none"/>
      <w:vertAlign w:val="baseline"/>
      <w:cs w:val="0"/>
      <w:em w:val="none"/>
      <w:lang w:bidi="ar-SA" w:eastAsia="ru-RU" w:val="uk-UA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FR1">
    <w:name w:val="FR1"/>
    <w:next w:val="FR1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before="40" w:line="1" w:lineRule="atLeast"/>
      <w:ind w:left="40"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Серт_заголовок2">
    <w:name w:val="Серт_заголовок2"/>
    <w:basedOn w:val="Заголовок2"/>
    <w:next w:val="Обычный"/>
    <w:autoRedefine w:val="0"/>
    <w:hidden w:val="0"/>
    <w:qFormat w:val="0"/>
    <w:pPr>
      <w:keepNext w:val="1"/>
      <w:numPr>
        <w:ilvl w:val="0"/>
        <w:numId w:val="4"/>
      </w:numPr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Times New Roman" w:cs="Times New Roman" w:hAnsi="Times New Roman"/>
      <w:b w:val="1"/>
      <w:bCs w:val="1"/>
      <w:i w:val="0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paragraph" w:styleId="Серт_заголовок3">
    <w:name w:val="Серт_заголовок3"/>
    <w:basedOn w:val="Серт_заголовок2"/>
    <w:next w:val="Серт_заголовок3"/>
    <w:autoRedefine w:val="0"/>
    <w:hidden w:val="0"/>
    <w:qFormat w:val="0"/>
    <w:pPr>
      <w:keepNext w:val="1"/>
      <w:numPr>
        <w:ilvl w:val="0"/>
        <w:numId w:val="4"/>
      </w:numPr>
      <w:suppressAutoHyphens w:val="1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1"/>
    </w:pPr>
    <w:rPr>
      <w:rFonts w:ascii="Times New Roman" w:cs="Times New Roman" w:hAnsi="Times New Roman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paragraph" w:styleId="БС">
    <w:name w:val="БС"/>
    <w:basedOn w:val="Обычный"/>
    <w:next w:val="БС"/>
    <w:autoRedefine w:val="0"/>
    <w:hidden w:val="0"/>
    <w:qFormat w:val="0"/>
    <w:pPr>
      <w:suppressAutoHyphens w:val="1"/>
      <w:spacing w:after="6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paragraph" w:styleId="Нумерованныйсписок">
    <w:name w:val="Нумерованный список"/>
    <w:basedOn w:val="Обычный"/>
    <w:next w:val="Нумерованныйсписок"/>
    <w:autoRedefine w:val="0"/>
    <w:hidden w:val="0"/>
    <w:qFormat w:val="0"/>
    <w:pPr>
      <w:numPr>
        <w:ilvl w:val="0"/>
        <w:numId w:val="5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uk-UA"/>
    </w:rPr>
  </w:style>
  <w:style w:type="paragraph" w:styleId="Маркированныйсписок">
    <w:name w:val="Маркированный список"/>
    <w:basedOn w:val="Обычный"/>
    <w:next w:val="Маркированныйсписок"/>
    <w:autoRedefine w:val="0"/>
    <w:hidden w:val="0"/>
    <w:qFormat w:val="0"/>
    <w:pPr>
      <w:numPr>
        <w:ilvl w:val="0"/>
        <w:numId w:val="1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Маркированныйсписок3">
    <w:name w:val="Маркированный список 3"/>
    <w:basedOn w:val="Обычный"/>
    <w:next w:val="Маркированныйсписок3"/>
    <w:autoRedefine w:val="0"/>
    <w:hidden w:val="0"/>
    <w:qFormat w:val="0"/>
    <w:pPr>
      <w:numPr>
        <w:ilvl w:val="0"/>
        <w:numId w:val="2"/>
      </w:num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uk-UA"/>
    </w:rPr>
  </w:style>
  <w:style w:type="paragraph" w:styleId="Основнойтекст3">
    <w:name w:val="Основной текст 3"/>
    <w:basedOn w:val="Обычный"/>
    <w:next w:val="Основнойтекст3"/>
    <w:autoRedefine w:val="0"/>
    <w:hidden w:val="0"/>
    <w:qFormat w:val="0"/>
    <w:pPr>
      <w:suppressAutoHyphens w:val="1"/>
      <w:autoSpaceDE w:val="0"/>
      <w:autoSpaceDN w:val="0"/>
      <w:adjustRightInd w:val="0"/>
      <w:spacing w:after="60" w:before="6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caps w:val="1"/>
      <w:w w:val="100"/>
      <w:position w:val="-1"/>
      <w:sz w:val="28"/>
      <w:szCs w:val="32"/>
      <w:effect w:val="none"/>
      <w:vertAlign w:val="baseline"/>
      <w:cs w:val="0"/>
      <w:em w:val="none"/>
      <w:lang w:bidi="ar-SA" w:eastAsia="ru-RU" w:val="uk-UA"/>
    </w:rPr>
  </w:style>
  <w:style w:type="character" w:styleId="Номерстраницы">
    <w:name w:val="Номер страницы"/>
    <w:basedOn w:val="Основнойшрифтабзаца"/>
    <w:next w:val="Номерстраницы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">
    <w:name w:val="Основной текст"/>
    <w:basedOn w:val="Обычный"/>
    <w:next w:val="Основнойтекст"/>
    <w:autoRedefine w:val="0"/>
    <w:hidden w:val="0"/>
    <w:qFormat w:val="0"/>
    <w:pPr>
      <w:suppressAutoHyphens w:val="1"/>
      <w:spacing w:after="12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Знак">
    <w:name w:val="Основной текст Знак"/>
    <w:next w:val="ОсновнойтекстЗнак"/>
    <w:autoRedefine w:val="0"/>
    <w:hidden w:val="0"/>
    <w:qFormat w:val="0"/>
    <w:rPr>
      <w:rFonts w:ascii="Arial" w:hAnsi="Arial"/>
      <w:w w:val="100"/>
      <w:position w:val="-1"/>
      <w:sz w:val="26"/>
      <w:effect w:val="none"/>
      <w:vertAlign w:val="baseline"/>
      <w:cs w:val="0"/>
      <w:em w:val="none"/>
      <w:lang/>
    </w:rPr>
  </w:style>
  <w:style w:type="character" w:styleId="НижнийколонтитулЗнак">
    <w:name w:val="Нижний колонтитул Знак"/>
    <w:next w:val="НижнийколонтитулЗнак"/>
    <w:autoRedefine w:val="0"/>
    <w:hidden w:val="0"/>
    <w:qFormat w:val="0"/>
    <w:rPr>
      <w:rFonts w:ascii="Arial" w:hAnsi="Arial"/>
      <w:w w:val="100"/>
      <w:position w:val="-1"/>
      <w:sz w:val="26"/>
      <w:effect w:val="none"/>
      <w:vertAlign w:val="baseline"/>
      <w:cs w:val="0"/>
      <w:em w:val="none"/>
      <w:lang/>
    </w:rPr>
  </w:style>
  <w:style w:type="paragraph" w:styleId="Текствыноски">
    <w:name w:val="Текст выноски"/>
    <w:basedOn w:val="Обычный"/>
    <w:next w:val="Текствыноски"/>
    <w:autoRedefine w:val="0"/>
    <w:hidden w:val="0"/>
    <w:qFormat w:val="0"/>
    <w:pPr>
      <w:suppressAutoHyphens w:val="1"/>
      <w:spacing w:after="0" w:before="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ТекствыноскиЗнак">
    <w:name w:val="Текст выноски Знак"/>
    <w:next w:val="ТекствыноскиЗнак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Знакпримечания">
    <w:name w:val="Знак примечания"/>
    <w:next w:val="Знакпримечания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Текстпримечания">
    <w:name w:val="Текст примечания"/>
    <w:basedOn w:val="Обычный"/>
    <w:next w:val="Текстпримечания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ТекстпримечанияЗнак">
    <w:name w:val="Текст примечания Знак"/>
    <w:next w:val="ТекстпримечанияЗнак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/>
    </w:rPr>
  </w:style>
  <w:style w:type="paragraph" w:styleId="Темапримечания">
    <w:name w:val="Тема примечания"/>
    <w:basedOn w:val="Текстпримечания"/>
    <w:next w:val="Текстпримечания"/>
    <w:autoRedefine w:val="0"/>
    <w:hidden w:val="0"/>
    <w:qFormat w:val="0"/>
    <w:pPr>
      <w:suppressAutoHyphens w:val="1"/>
      <w:spacing w:after="60" w:before="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ТемапримечанияЗнак">
    <w:name w:val="Тема примечания Знак"/>
    <w:next w:val="ТемапримечанияЗнак"/>
    <w:autoRedefine w:val="0"/>
    <w:hidden w:val="0"/>
    <w:qFormat w:val="0"/>
    <w:rPr>
      <w:rFonts w:ascii="Arial" w:hAnsi="Arial"/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table" w:styleId="Сіткатаблиці1">
    <w:name w:val="Сітка таблиці1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eastAsia="ru-RU" w:val="ru-RU"/>
    </w:rPr>
    <w:tblPr>
      <w:tblStyle w:val="Сіткатаблиці1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character" w:styleId="Гиперссылка">
    <w:name w:val="Гиперссылка"/>
    <w:next w:val="Гиперссылка"/>
    <w:autoRedefine w:val="0"/>
    <w:hidden w:val="0"/>
    <w:qFormat w:val="0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Незакритазгадка">
    <w:name w:val="Незакрита згадка"/>
    <w:next w:val="Незакритазгадка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z1318-21#n13" TargetMode="External"/><Relationship Id="rId8" Type="http://schemas.openxmlformats.org/officeDocument/2006/relationships/hyperlink" Target="https://www.who.int/publications/i/item/978924159790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1Y8BfR74Jcl9pG67vMRFf/n0rQ==">CgMxLjAyCGguZ2pkZ3hzOAByITFmM1ZMUlJqMXM1NDZycHFEckZZUDZqX1ZuMGViNnRJTg==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2016-06-03T11:19:00Z</dcterms:created>
  <dc:creator>nganich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